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601" w:rsidRDefault="008815E4" w:rsidP="00CA3519">
      <w:pPr>
        <w:shd w:val="clear" w:color="auto" w:fill="FFFFFF"/>
        <w:spacing w:after="150" w:line="240" w:lineRule="auto"/>
        <w:outlineLvl w:val="4"/>
        <w:rPr>
          <w:rFonts w:ascii="Helvetica" w:eastAsia="Times New Roman" w:hAnsi="Helvetica" w:cs="Helvetica"/>
          <w:color w:val="00A1CD"/>
          <w:sz w:val="27"/>
          <w:szCs w:val="27"/>
          <w:lang w:eastAsia="nl-NL"/>
        </w:rPr>
      </w:pPr>
      <w:r w:rsidRPr="00535DC8">
        <w:rPr>
          <w:rFonts w:ascii="Helvetica" w:eastAsia="Times New Roman" w:hAnsi="Helvetica" w:cs="Helvetica"/>
          <w:color w:val="00A1CD"/>
          <w:sz w:val="27"/>
          <w:szCs w:val="27"/>
          <w:lang w:eastAsia="nl-NL"/>
        </w:rPr>
        <w:t>Energie</w:t>
      </w:r>
      <w:r>
        <w:rPr>
          <w:rFonts w:ascii="Helvetica" w:eastAsia="Times New Roman" w:hAnsi="Helvetica" w:cs="Helvetica"/>
          <w:color w:val="00A1CD"/>
          <w:sz w:val="27"/>
          <w:szCs w:val="27"/>
          <w:lang w:eastAsia="nl-NL"/>
        </w:rPr>
        <w:t>levering</w:t>
      </w:r>
      <w:r w:rsidRPr="00535DC8">
        <w:rPr>
          <w:rFonts w:ascii="Helvetica" w:eastAsia="Times New Roman" w:hAnsi="Helvetica" w:cs="Helvetica"/>
          <w:color w:val="00A1CD"/>
          <w:sz w:val="27"/>
          <w:szCs w:val="27"/>
          <w:lang w:eastAsia="nl-NL"/>
        </w:rPr>
        <w:t xml:space="preserve"> </w:t>
      </w:r>
      <w:r w:rsidR="007132D6">
        <w:rPr>
          <w:rFonts w:ascii="Helvetica" w:eastAsia="Times New Roman" w:hAnsi="Helvetica" w:cs="Helvetica"/>
          <w:color w:val="00A1CD"/>
          <w:sz w:val="27"/>
          <w:szCs w:val="27"/>
          <w:lang w:eastAsia="nl-NL"/>
        </w:rPr>
        <w:t xml:space="preserve">aan </w:t>
      </w:r>
      <w:r w:rsidRPr="00535DC8">
        <w:rPr>
          <w:rFonts w:ascii="Helvetica" w:eastAsia="Times New Roman" w:hAnsi="Helvetica" w:cs="Helvetica"/>
          <w:color w:val="00A1CD"/>
          <w:sz w:val="27"/>
          <w:szCs w:val="27"/>
          <w:lang w:eastAsia="nl-NL"/>
        </w:rPr>
        <w:t>woningen</w:t>
      </w:r>
      <w:r>
        <w:rPr>
          <w:rFonts w:ascii="Helvetica" w:eastAsia="Times New Roman" w:hAnsi="Helvetica" w:cs="Helvetica"/>
          <w:color w:val="00A1CD"/>
          <w:sz w:val="27"/>
          <w:szCs w:val="27"/>
          <w:lang w:eastAsia="nl-NL"/>
        </w:rPr>
        <w:t xml:space="preserve"> en bedrijven</w:t>
      </w:r>
      <w:r w:rsidRPr="00535DC8">
        <w:rPr>
          <w:rFonts w:ascii="Helvetica" w:eastAsia="Times New Roman" w:hAnsi="Helvetica" w:cs="Helvetica"/>
          <w:color w:val="00A1CD"/>
          <w:sz w:val="27"/>
          <w:szCs w:val="27"/>
          <w:lang w:eastAsia="nl-NL"/>
        </w:rPr>
        <w:t xml:space="preserve">; </w:t>
      </w:r>
      <w:r>
        <w:rPr>
          <w:rFonts w:ascii="Helvetica" w:eastAsia="Times New Roman" w:hAnsi="Helvetica" w:cs="Helvetica"/>
          <w:color w:val="00A1CD"/>
          <w:sz w:val="27"/>
          <w:szCs w:val="27"/>
          <w:lang w:eastAsia="nl-NL"/>
        </w:rPr>
        <w:t>postcode 6</w:t>
      </w:r>
      <w:r w:rsidRPr="00535DC8">
        <w:rPr>
          <w:rFonts w:ascii="Helvetica" w:eastAsia="Times New Roman" w:hAnsi="Helvetica" w:cs="Helvetica"/>
          <w:color w:val="00A1CD"/>
          <w:sz w:val="27"/>
          <w:szCs w:val="27"/>
          <w:lang w:eastAsia="nl-NL"/>
        </w:rPr>
        <w:t>, 20</w:t>
      </w:r>
      <w:r w:rsidR="00601259">
        <w:rPr>
          <w:rFonts w:ascii="Helvetica" w:eastAsia="Times New Roman" w:hAnsi="Helvetica" w:cs="Helvetica"/>
          <w:color w:val="00A1CD"/>
          <w:sz w:val="27"/>
          <w:szCs w:val="27"/>
          <w:lang w:eastAsia="nl-NL"/>
        </w:rPr>
        <w:t>21</w:t>
      </w:r>
    </w:p>
    <w:p w:rsidR="00CA3519" w:rsidRPr="00CA3519" w:rsidRDefault="00CA3519" w:rsidP="00CA3519">
      <w:pPr>
        <w:shd w:val="clear" w:color="auto" w:fill="FFFFFF"/>
        <w:spacing w:after="150" w:line="240" w:lineRule="auto"/>
        <w:outlineLvl w:val="4"/>
        <w:rPr>
          <w:rFonts w:ascii="Helvetica" w:eastAsia="Times New Roman" w:hAnsi="Helvetica" w:cs="Helvetica"/>
          <w:color w:val="00A1CD"/>
          <w:sz w:val="27"/>
          <w:szCs w:val="27"/>
          <w:lang w:eastAsia="nl-NL"/>
        </w:rPr>
      </w:pPr>
    </w:p>
    <w:p w:rsidR="005F3F20" w:rsidRPr="0061740E" w:rsidRDefault="005F3F20" w:rsidP="005F3F20">
      <w:pPr>
        <w:pStyle w:val="H5"/>
      </w:pPr>
      <w:r w:rsidRPr="0061740E">
        <w:t>Gemiddeld</w:t>
      </w:r>
      <w:r w:rsidR="00207FBE" w:rsidRPr="0061740E">
        <w:t>e</w:t>
      </w:r>
      <w:r w:rsidRPr="0061740E">
        <w:t xml:space="preserve"> aardgas</w:t>
      </w:r>
      <w:r w:rsidR="00207FBE" w:rsidRPr="0061740E">
        <w:t>levering</w:t>
      </w:r>
      <w:r w:rsidR="009307CA" w:rsidRPr="0061740E">
        <w:t xml:space="preserve"> </w:t>
      </w:r>
      <w:r w:rsidR="00D87589" w:rsidRPr="0061740E">
        <w:t xml:space="preserve"> aan </w:t>
      </w:r>
      <w:r w:rsidR="009307CA" w:rsidRPr="0061740E">
        <w:t>woningen</w:t>
      </w:r>
    </w:p>
    <w:p w:rsidR="005F3F20" w:rsidRDefault="00207FBE" w:rsidP="0076688D">
      <w:pPr>
        <w:rPr>
          <w:rFonts w:ascii="Times New Roman" w:hAnsi="Times New Roman" w:cs="Times New Roman"/>
          <w:sz w:val="20"/>
          <w:szCs w:val="20"/>
        </w:rPr>
      </w:pPr>
      <w:r w:rsidRPr="0076688D">
        <w:rPr>
          <w:rFonts w:ascii="Times New Roman" w:hAnsi="Times New Roman" w:cs="Times New Roman"/>
          <w:sz w:val="20"/>
          <w:szCs w:val="20"/>
        </w:rPr>
        <w:t xml:space="preserve">De </w:t>
      </w:r>
      <w:r w:rsidR="005F3F20" w:rsidRPr="0076688D">
        <w:rPr>
          <w:rFonts w:ascii="Times New Roman" w:hAnsi="Times New Roman" w:cs="Times New Roman"/>
          <w:sz w:val="20"/>
          <w:szCs w:val="20"/>
        </w:rPr>
        <w:t>gemiddeld</w:t>
      </w:r>
      <w:r w:rsidRPr="0076688D">
        <w:rPr>
          <w:rFonts w:ascii="Times New Roman" w:hAnsi="Times New Roman" w:cs="Times New Roman"/>
          <w:sz w:val="20"/>
          <w:szCs w:val="20"/>
        </w:rPr>
        <w:t>e</w:t>
      </w:r>
      <w:r w:rsidR="005F3F20" w:rsidRPr="0076688D">
        <w:rPr>
          <w:rFonts w:ascii="Times New Roman" w:hAnsi="Times New Roman" w:cs="Times New Roman"/>
          <w:sz w:val="20"/>
          <w:szCs w:val="20"/>
        </w:rPr>
        <w:t xml:space="preserve"> aardgas</w:t>
      </w:r>
      <w:r w:rsidRPr="0076688D">
        <w:rPr>
          <w:rFonts w:ascii="Times New Roman" w:hAnsi="Times New Roman" w:cs="Times New Roman"/>
          <w:sz w:val="20"/>
          <w:szCs w:val="20"/>
        </w:rPr>
        <w:t>levering in het betreffende jaar a</w:t>
      </w:r>
      <w:r w:rsidR="005F3F20" w:rsidRPr="0076688D">
        <w:rPr>
          <w:rFonts w:ascii="Times New Roman" w:hAnsi="Times New Roman" w:cs="Times New Roman"/>
          <w:sz w:val="20"/>
          <w:szCs w:val="20"/>
        </w:rPr>
        <w:t xml:space="preserve">an particuliere woningen, zoals berekend uit de aansluitingenregisters van de </w:t>
      </w:r>
      <w:r w:rsidR="006C680D" w:rsidRPr="0076688D">
        <w:rPr>
          <w:rFonts w:ascii="Times New Roman" w:hAnsi="Times New Roman" w:cs="Times New Roman"/>
          <w:sz w:val="20"/>
          <w:szCs w:val="20"/>
        </w:rPr>
        <w:t>netbeheerders</w:t>
      </w:r>
      <w:r w:rsidR="005F3F20" w:rsidRPr="0076688D">
        <w:rPr>
          <w:rFonts w:ascii="Times New Roman" w:hAnsi="Times New Roman" w:cs="Times New Roman"/>
          <w:sz w:val="20"/>
          <w:szCs w:val="20"/>
        </w:rPr>
        <w:t>.</w:t>
      </w:r>
      <w:r w:rsidR="00DA7466">
        <w:rPr>
          <w:rFonts w:ascii="Times New Roman" w:hAnsi="Times New Roman" w:cs="Times New Roman"/>
          <w:sz w:val="20"/>
          <w:szCs w:val="20"/>
        </w:rPr>
        <w:t xml:space="preserve"> </w:t>
      </w:r>
      <w:r w:rsidR="00DA7466" w:rsidRPr="00DA7466">
        <w:rPr>
          <w:rFonts w:ascii="Times New Roman" w:hAnsi="Times New Roman" w:cs="Times New Roman"/>
          <w:sz w:val="20"/>
          <w:szCs w:val="20"/>
        </w:rPr>
        <w:t>Op basis van informatie uit on</w:t>
      </w:r>
      <w:r w:rsidR="00DA7466">
        <w:rPr>
          <w:rFonts w:ascii="Times New Roman" w:hAnsi="Times New Roman" w:cs="Times New Roman"/>
          <w:sz w:val="20"/>
          <w:szCs w:val="20"/>
        </w:rPr>
        <w:t>der meer de BAG wordt een</w:t>
      </w:r>
      <w:r w:rsidR="00DA7466" w:rsidRPr="00DA7466">
        <w:rPr>
          <w:rFonts w:ascii="Times New Roman" w:hAnsi="Times New Roman" w:cs="Times New Roman"/>
          <w:sz w:val="20"/>
          <w:szCs w:val="20"/>
        </w:rPr>
        <w:t xml:space="preserve"> indel</w:t>
      </w:r>
      <w:r w:rsidR="00DA7466">
        <w:rPr>
          <w:rFonts w:ascii="Times New Roman" w:hAnsi="Times New Roman" w:cs="Times New Roman"/>
          <w:sz w:val="20"/>
          <w:szCs w:val="20"/>
        </w:rPr>
        <w:t xml:space="preserve">ing naar de </w:t>
      </w:r>
      <w:r w:rsidR="00DA7466" w:rsidRPr="00DA7466">
        <w:rPr>
          <w:rFonts w:ascii="Times New Roman" w:hAnsi="Times New Roman" w:cs="Times New Roman"/>
          <w:sz w:val="20"/>
          <w:szCs w:val="20"/>
        </w:rPr>
        <w:t xml:space="preserve">groep “particuliere woningen” of “bedrijven” gemaakt. Dit gebeurt op basis </w:t>
      </w:r>
      <w:r w:rsidR="00DA7466">
        <w:rPr>
          <w:rFonts w:ascii="Times New Roman" w:hAnsi="Times New Roman" w:cs="Times New Roman"/>
          <w:sz w:val="20"/>
          <w:szCs w:val="20"/>
        </w:rPr>
        <w:t xml:space="preserve">van de gebruiksfunctie van het </w:t>
      </w:r>
      <w:r w:rsidR="00DA7466" w:rsidRPr="00DA7466">
        <w:rPr>
          <w:rFonts w:ascii="Times New Roman" w:hAnsi="Times New Roman" w:cs="Times New Roman"/>
          <w:sz w:val="20"/>
          <w:szCs w:val="20"/>
        </w:rPr>
        <w:t>verblijfsobject op een adres. Verblijfsobjecten met woonfunctie worden daarbij toegekend aan de groep “particuliere woningen” tenzij één van de gekoppelde registers of de analyse van de klantnaam aangeeft dat er tevens sprake is van zakelijk energiegebrui</w:t>
      </w:r>
      <w:r w:rsidR="00071F0D">
        <w:rPr>
          <w:rFonts w:ascii="Times New Roman" w:hAnsi="Times New Roman" w:cs="Times New Roman"/>
          <w:sz w:val="20"/>
          <w:szCs w:val="20"/>
        </w:rPr>
        <w:t xml:space="preserve">k. In dat geval wordt voor het </w:t>
      </w:r>
      <w:r w:rsidR="00DA7466" w:rsidRPr="00DA7466">
        <w:rPr>
          <w:rFonts w:ascii="Times New Roman" w:hAnsi="Times New Roman" w:cs="Times New Roman"/>
          <w:sz w:val="20"/>
          <w:szCs w:val="20"/>
        </w:rPr>
        <w:t>aandeel van de woning een levering toegekend door middel van imputatie op basis van kenmerken van de woning.</w:t>
      </w:r>
    </w:p>
    <w:p w:rsidR="005F3F20" w:rsidRPr="0076688D" w:rsidRDefault="005F3F20" w:rsidP="0076688D">
      <w:pPr>
        <w:rPr>
          <w:rFonts w:ascii="Times New Roman" w:hAnsi="Times New Roman" w:cs="Times New Roman"/>
          <w:sz w:val="20"/>
          <w:szCs w:val="20"/>
        </w:rPr>
      </w:pPr>
      <w:r w:rsidRPr="0076688D">
        <w:rPr>
          <w:rFonts w:ascii="Times New Roman" w:hAnsi="Times New Roman" w:cs="Times New Roman"/>
          <w:sz w:val="20"/>
          <w:szCs w:val="20"/>
        </w:rPr>
        <w:t xml:space="preserve">Bij de berekening van </w:t>
      </w:r>
      <w:r w:rsidR="00D87589" w:rsidRPr="0076688D">
        <w:rPr>
          <w:rFonts w:ascii="Times New Roman" w:hAnsi="Times New Roman" w:cs="Times New Roman"/>
          <w:sz w:val="20"/>
          <w:szCs w:val="20"/>
        </w:rPr>
        <w:t>de</w:t>
      </w:r>
      <w:r w:rsidRPr="0076688D">
        <w:rPr>
          <w:rFonts w:ascii="Times New Roman" w:hAnsi="Times New Roman" w:cs="Times New Roman"/>
          <w:sz w:val="20"/>
          <w:szCs w:val="20"/>
        </w:rPr>
        <w:t xml:space="preserve"> gemiddeld</w:t>
      </w:r>
      <w:r w:rsidR="00D87589" w:rsidRPr="0076688D">
        <w:rPr>
          <w:rFonts w:ascii="Times New Roman" w:hAnsi="Times New Roman" w:cs="Times New Roman"/>
          <w:sz w:val="20"/>
          <w:szCs w:val="20"/>
        </w:rPr>
        <w:t>e</w:t>
      </w:r>
      <w:r w:rsidRPr="0076688D">
        <w:rPr>
          <w:rFonts w:ascii="Times New Roman" w:hAnsi="Times New Roman" w:cs="Times New Roman"/>
          <w:sz w:val="20"/>
          <w:szCs w:val="20"/>
        </w:rPr>
        <w:t xml:space="preserve"> aardgas</w:t>
      </w:r>
      <w:r w:rsidR="00D87589" w:rsidRPr="0076688D">
        <w:rPr>
          <w:rFonts w:ascii="Times New Roman" w:hAnsi="Times New Roman" w:cs="Times New Roman"/>
          <w:sz w:val="20"/>
          <w:szCs w:val="20"/>
        </w:rPr>
        <w:t>levering</w:t>
      </w:r>
      <w:r w:rsidRPr="0076688D">
        <w:rPr>
          <w:rFonts w:ascii="Times New Roman" w:hAnsi="Times New Roman" w:cs="Times New Roman"/>
          <w:sz w:val="20"/>
          <w:szCs w:val="20"/>
        </w:rPr>
        <w:t xml:space="preserve"> zijn woningen met een zeer laag of zelfs </w:t>
      </w:r>
      <w:proofErr w:type="spellStart"/>
      <w:r w:rsidRPr="0076688D">
        <w:rPr>
          <w:rFonts w:ascii="Times New Roman" w:hAnsi="Times New Roman" w:cs="Times New Roman"/>
          <w:sz w:val="20"/>
          <w:szCs w:val="20"/>
        </w:rPr>
        <w:t>nulverbruik</w:t>
      </w:r>
      <w:proofErr w:type="spellEnd"/>
      <w:r w:rsidRPr="0076688D">
        <w:rPr>
          <w:rFonts w:ascii="Times New Roman" w:hAnsi="Times New Roman" w:cs="Times New Roman"/>
          <w:sz w:val="20"/>
          <w:szCs w:val="20"/>
        </w:rPr>
        <w:t xml:space="preserve"> meegeteld indien er sprake is van stadsverwarming. Hierdoor valt in gebieden waar</w:t>
      </w:r>
      <w:r w:rsidR="00D87589" w:rsidRPr="0076688D">
        <w:rPr>
          <w:rFonts w:ascii="Times New Roman" w:hAnsi="Times New Roman" w:cs="Times New Roman"/>
          <w:sz w:val="20"/>
          <w:szCs w:val="20"/>
        </w:rPr>
        <w:t xml:space="preserve"> stadsverwarming aanwezig is de</w:t>
      </w:r>
      <w:r w:rsidRPr="0076688D">
        <w:rPr>
          <w:rFonts w:ascii="Times New Roman" w:hAnsi="Times New Roman" w:cs="Times New Roman"/>
          <w:sz w:val="20"/>
          <w:szCs w:val="20"/>
        </w:rPr>
        <w:t xml:space="preserve"> gemiddeld</w:t>
      </w:r>
      <w:r w:rsidR="00D87589" w:rsidRPr="0076688D">
        <w:rPr>
          <w:rFonts w:ascii="Times New Roman" w:hAnsi="Times New Roman" w:cs="Times New Roman"/>
          <w:sz w:val="20"/>
          <w:szCs w:val="20"/>
        </w:rPr>
        <w:t>e</w:t>
      </w:r>
      <w:r w:rsidRPr="0076688D">
        <w:rPr>
          <w:rFonts w:ascii="Times New Roman" w:hAnsi="Times New Roman" w:cs="Times New Roman"/>
          <w:sz w:val="20"/>
          <w:szCs w:val="20"/>
        </w:rPr>
        <w:t xml:space="preserve"> aardgas</w:t>
      </w:r>
      <w:r w:rsidR="00D87589" w:rsidRPr="0076688D">
        <w:rPr>
          <w:rFonts w:ascii="Times New Roman" w:hAnsi="Times New Roman" w:cs="Times New Roman"/>
          <w:sz w:val="20"/>
          <w:szCs w:val="20"/>
        </w:rPr>
        <w:t>levering aa</w:t>
      </w:r>
      <w:r w:rsidRPr="0076688D">
        <w:rPr>
          <w:rFonts w:ascii="Times New Roman" w:hAnsi="Times New Roman" w:cs="Times New Roman"/>
          <w:sz w:val="20"/>
          <w:szCs w:val="20"/>
        </w:rPr>
        <w:t>n woningen laag uit.</w:t>
      </w:r>
    </w:p>
    <w:p w:rsidR="005F3F20" w:rsidRPr="0076688D" w:rsidRDefault="005F3F20" w:rsidP="0076688D">
      <w:pPr>
        <w:rPr>
          <w:rFonts w:ascii="Times New Roman" w:hAnsi="Times New Roman" w:cs="Times New Roman"/>
          <w:sz w:val="20"/>
          <w:szCs w:val="20"/>
        </w:rPr>
      </w:pPr>
      <w:r w:rsidRPr="0076688D">
        <w:rPr>
          <w:rFonts w:ascii="Times New Roman" w:hAnsi="Times New Roman" w:cs="Times New Roman"/>
          <w:sz w:val="20"/>
          <w:szCs w:val="20"/>
        </w:rPr>
        <w:t>De cijfers zijn afgerond op tientallen en vermeld bij vijf of meer (bewoonde) woningen.</w:t>
      </w:r>
      <w:r w:rsidR="00402531">
        <w:rPr>
          <w:rFonts w:ascii="Times New Roman" w:hAnsi="Times New Roman" w:cs="Times New Roman"/>
          <w:sz w:val="20"/>
          <w:szCs w:val="20"/>
        </w:rPr>
        <w:t xml:space="preserve"> H</w:t>
      </w:r>
      <w:r w:rsidR="00402531" w:rsidRPr="00402531">
        <w:rPr>
          <w:rFonts w:ascii="Times New Roman" w:hAnsi="Times New Roman" w:cs="Times New Roman"/>
          <w:sz w:val="20"/>
          <w:szCs w:val="20"/>
        </w:rPr>
        <w:t xml:space="preserve">et symbool ‘.’ </w:t>
      </w:r>
      <w:r w:rsidR="00402531">
        <w:rPr>
          <w:rFonts w:ascii="Times New Roman" w:hAnsi="Times New Roman" w:cs="Times New Roman"/>
          <w:sz w:val="20"/>
          <w:szCs w:val="20"/>
        </w:rPr>
        <w:t>wordt g</w:t>
      </w:r>
      <w:r w:rsidR="00402531" w:rsidRPr="00402531">
        <w:rPr>
          <w:rFonts w:ascii="Times New Roman" w:hAnsi="Times New Roman" w:cs="Times New Roman"/>
          <w:sz w:val="20"/>
          <w:szCs w:val="20"/>
        </w:rPr>
        <w:t xml:space="preserve">ebruikt voor </w:t>
      </w:r>
      <w:r w:rsidR="00402531">
        <w:rPr>
          <w:rFonts w:ascii="Times New Roman" w:hAnsi="Times New Roman" w:cs="Times New Roman"/>
          <w:sz w:val="20"/>
          <w:szCs w:val="20"/>
        </w:rPr>
        <w:t xml:space="preserve">alle </w:t>
      </w:r>
      <w:r w:rsidR="00402531" w:rsidRPr="00402531">
        <w:rPr>
          <w:rFonts w:ascii="Times New Roman" w:hAnsi="Times New Roman" w:cs="Times New Roman"/>
          <w:sz w:val="20"/>
          <w:szCs w:val="20"/>
        </w:rPr>
        <w:t xml:space="preserve">cellen </w:t>
      </w:r>
      <w:r w:rsidR="00402531">
        <w:rPr>
          <w:rFonts w:ascii="Times New Roman" w:hAnsi="Times New Roman" w:cs="Times New Roman"/>
          <w:sz w:val="20"/>
          <w:szCs w:val="20"/>
        </w:rPr>
        <w:t>met minder dan vijf waarnemingen</w:t>
      </w:r>
      <w:r w:rsidR="00402531" w:rsidRPr="00402531">
        <w:rPr>
          <w:rFonts w:ascii="Times New Roman" w:hAnsi="Times New Roman" w:cs="Times New Roman"/>
          <w:sz w:val="20"/>
          <w:szCs w:val="20"/>
        </w:rPr>
        <w:t>.</w:t>
      </w:r>
    </w:p>
    <w:p w:rsidR="005F3F20" w:rsidRPr="0061740E" w:rsidRDefault="005F3F20" w:rsidP="005F3F20">
      <w:pPr>
        <w:pStyle w:val="Preformatted"/>
        <w:tabs>
          <w:tab w:val="clear" w:pos="9590"/>
        </w:tabs>
        <w:rPr>
          <w:rFonts w:ascii="Times New Roman" w:hAnsi="Times New Roman" w:cs="Times New Roman"/>
        </w:rPr>
      </w:pPr>
    </w:p>
    <w:p w:rsidR="005F3F20" w:rsidRPr="0061740E" w:rsidRDefault="00D87589" w:rsidP="005F3F20">
      <w:pPr>
        <w:pStyle w:val="H5"/>
      </w:pPr>
      <w:r w:rsidRPr="0061740E">
        <w:t xml:space="preserve">Gemiddelde aardgaslevering </w:t>
      </w:r>
      <w:r w:rsidR="005F3F20" w:rsidRPr="0061740E">
        <w:t xml:space="preserve"> </w:t>
      </w:r>
      <w:r w:rsidRPr="0061740E">
        <w:t xml:space="preserve">aan </w:t>
      </w:r>
      <w:r w:rsidR="009307CA" w:rsidRPr="0061740E">
        <w:t>woningen</w:t>
      </w:r>
      <w:r w:rsidRPr="0061740E">
        <w:t xml:space="preserve">, </w:t>
      </w:r>
      <w:proofErr w:type="spellStart"/>
      <w:r w:rsidR="00F469EF">
        <w:t>temperatuur</w:t>
      </w:r>
      <w:r w:rsidR="005F3F20" w:rsidRPr="0061740E">
        <w:t>gecorrigeerd</w:t>
      </w:r>
      <w:proofErr w:type="spellEnd"/>
    </w:p>
    <w:p w:rsidR="00D87589" w:rsidRPr="0076688D" w:rsidRDefault="00D87589" w:rsidP="0076688D">
      <w:pPr>
        <w:rPr>
          <w:rFonts w:ascii="Times New Roman" w:hAnsi="Times New Roman" w:cs="Times New Roman"/>
          <w:sz w:val="20"/>
          <w:szCs w:val="20"/>
        </w:rPr>
      </w:pPr>
      <w:r w:rsidRPr="0076688D">
        <w:rPr>
          <w:rFonts w:ascii="Times New Roman" w:hAnsi="Times New Roman" w:cs="Times New Roman"/>
          <w:sz w:val="20"/>
          <w:szCs w:val="20"/>
        </w:rPr>
        <w:t>De gemiddelde aardgaslevering in het betreffende jaar aan particuliere woningen,</w:t>
      </w:r>
      <w:r w:rsidR="005F3F20" w:rsidRPr="0076688D">
        <w:rPr>
          <w:rFonts w:ascii="Times New Roman" w:hAnsi="Times New Roman" w:cs="Times New Roman"/>
          <w:sz w:val="20"/>
          <w:szCs w:val="20"/>
        </w:rPr>
        <w:t xml:space="preserve"> gecorrigeerd</w:t>
      </w:r>
      <w:r w:rsidR="006C680D" w:rsidRPr="0076688D">
        <w:rPr>
          <w:rFonts w:ascii="Times New Roman" w:hAnsi="Times New Roman" w:cs="Times New Roman"/>
          <w:sz w:val="20"/>
          <w:szCs w:val="20"/>
        </w:rPr>
        <w:t xml:space="preserve"> voor temperatuurverschillen tussen jaren</w:t>
      </w:r>
      <w:r w:rsidR="005F3F20" w:rsidRPr="0076688D">
        <w:rPr>
          <w:rFonts w:ascii="Times New Roman" w:hAnsi="Times New Roman" w:cs="Times New Roman"/>
          <w:sz w:val="20"/>
          <w:szCs w:val="20"/>
        </w:rPr>
        <w:t>.</w:t>
      </w:r>
      <w:r w:rsidR="006C680D" w:rsidRPr="0076688D">
        <w:rPr>
          <w:rFonts w:ascii="Times New Roman" w:hAnsi="Times New Roman" w:cs="Times New Roman"/>
          <w:sz w:val="20"/>
          <w:szCs w:val="20"/>
        </w:rPr>
        <w:t xml:space="preserve"> D</w:t>
      </w:r>
      <w:r w:rsidR="005F3F20" w:rsidRPr="0076688D">
        <w:rPr>
          <w:rFonts w:ascii="Times New Roman" w:hAnsi="Times New Roman" w:cs="Times New Roman"/>
          <w:sz w:val="20"/>
          <w:szCs w:val="20"/>
        </w:rPr>
        <w:t xml:space="preserve">eze </w:t>
      </w:r>
      <w:r w:rsidR="006C680D" w:rsidRPr="0076688D">
        <w:rPr>
          <w:rFonts w:ascii="Times New Roman" w:hAnsi="Times New Roman" w:cs="Times New Roman"/>
          <w:sz w:val="20"/>
          <w:szCs w:val="20"/>
        </w:rPr>
        <w:t xml:space="preserve">gecorrigeerde </w:t>
      </w:r>
      <w:r w:rsidR="005F3F20" w:rsidRPr="0076688D">
        <w:rPr>
          <w:rFonts w:ascii="Times New Roman" w:hAnsi="Times New Roman" w:cs="Times New Roman"/>
          <w:sz w:val="20"/>
          <w:szCs w:val="20"/>
        </w:rPr>
        <w:t>waarde</w:t>
      </w:r>
      <w:r w:rsidR="006C680D" w:rsidRPr="0076688D">
        <w:rPr>
          <w:rFonts w:ascii="Times New Roman" w:hAnsi="Times New Roman" w:cs="Times New Roman"/>
          <w:sz w:val="20"/>
          <w:szCs w:val="20"/>
        </w:rPr>
        <w:t xml:space="preserve"> is berekend volgens de zogenaamde “Profielenmethodiek”, en komt daarmee overeen met het Standaardjaarverbruik (SJV) uit het aansluitingenregister. </w:t>
      </w:r>
    </w:p>
    <w:p w:rsidR="00D87589" w:rsidRPr="0076688D" w:rsidRDefault="00D87589" w:rsidP="0076688D">
      <w:pPr>
        <w:rPr>
          <w:rFonts w:ascii="Times New Roman" w:hAnsi="Times New Roman" w:cs="Times New Roman"/>
          <w:sz w:val="20"/>
          <w:szCs w:val="20"/>
        </w:rPr>
      </w:pPr>
      <w:r w:rsidRPr="0076688D">
        <w:rPr>
          <w:rFonts w:ascii="Times New Roman" w:hAnsi="Times New Roman" w:cs="Times New Roman"/>
          <w:sz w:val="20"/>
          <w:szCs w:val="20"/>
        </w:rPr>
        <w:t xml:space="preserve">Bij de berekening van de gemiddelde gecorrigeerde aardgaslevering zijn woningen met een zeer laag of zelfs </w:t>
      </w:r>
      <w:proofErr w:type="spellStart"/>
      <w:r w:rsidRPr="0076688D">
        <w:rPr>
          <w:rFonts w:ascii="Times New Roman" w:hAnsi="Times New Roman" w:cs="Times New Roman"/>
          <w:sz w:val="20"/>
          <w:szCs w:val="20"/>
        </w:rPr>
        <w:t>nulverbruik</w:t>
      </w:r>
      <w:proofErr w:type="spellEnd"/>
      <w:r w:rsidRPr="0076688D">
        <w:rPr>
          <w:rFonts w:ascii="Times New Roman" w:hAnsi="Times New Roman" w:cs="Times New Roman"/>
          <w:sz w:val="20"/>
          <w:szCs w:val="20"/>
        </w:rPr>
        <w:t xml:space="preserve"> meegeteld indien er sprake is van stadsverwarming. Hierdoor valt in gebieden waar stadsverwarming aanwezig is de gemiddelde gecorrigeerde aardgaslevering aan woningen laag uit.</w:t>
      </w:r>
    </w:p>
    <w:p w:rsidR="000C2C7C" w:rsidRPr="0076688D" w:rsidRDefault="009307CA" w:rsidP="000C2C7C">
      <w:pPr>
        <w:rPr>
          <w:rFonts w:ascii="Times New Roman" w:hAnsi="Times New Roman" w:cs="Times New Roman"/>
          <w:sz w:val="20"/>
          <w:szCs w:val="20"/>
        </w:rPr>
      </w:pPr>
      <w:r w:rsidRPr="0076688D">
        <w:rPr>
          <w:rFonts w:ascii="Times New Roman" w:hAnsi="Times New Roman" w:cs="Times New Roman"/>
          <w:sz w:val="20"/>
          <w:szCs w:val="20"/>
        </w:rPr>
        <w:t>De cijfers zijn afgerond op tientallen en vermeld bij vijf of meer (bewoonde) woningen.</w:t>
      </w:r>
      <w:r w:rsidR="000C2C7C">
        <w:rPr>
          <w:rFonts w:ascii="Times New Roman" w:hAnsi="Times New Roman" w:cs="Times New Roman"/>
          <w:sz w:val="20"/>
          <w:szCs w:val="20"/>
        </w:rPr>
        <w:t xml:space="preserve"> H</w:t>
      </w:r>
      <w:r w:rsidR="000C2C7C" w:rsidRPr="00402531">
        <w:rPr>
          <w:rFonts w:ascii="Times New Roman" w:hAnsi="Times New Roman" w:cs="Times New Roman"/>
          <w:sz w:val="20"/>
          <w:szCs w:val="20"/>
        </w:rPr>
        <w:t xml:space="preserve">et symbool ‘.’ </w:t>
      </w:r>
      <w:r w:rsidR="000C2C7C">
        <w:rPr>
          <w:rFonts w:ascii="Times New Roman" w:hAnsi="Times New Roman" w:cs="Times New Roman"/>
          <w:sz w:val="20"/>
          <w:szCs w:val="20"/>
        </w:rPr>
        <w:t>wordt g</w:t>
      </w:r>
      <w:r w:rsidR="000C2C7C" w:rsidRPr="00402531">
        <w:rPr>
          <w:rFonts w:ascii="Times New Roman" w:hAnsi="Times New Roman" w:cs="Times New Roman"/>
          <w:sz w:val="20"/>
          <w:szCs w:val="20"/>
        </w:rPr>
        <w:t xml:space="preserve">ebruikt voor </w:t>
      </w:r>
      <w:r w:rsidR="000C2C7C">
        <w:rPr>
          <w:rFonts w:ascii="Times New Roman" w:hAnsi="Times New Roman" w:cs="Times New Roman"/>
          <w:sz w:val="20"/>
          <w:szCs w:val="20"/>
        </w:rPr>
        <w:t xml:space="preserve">alle </w:t>
      </w:r>
      <w:r w:rsidR="000C2C7C" w:rsidRPr="00402531">
        <w:rPr>
          <w:rFonts w:ascii="Times New Roman" w:hAnsi="Times New Roman" w:cs="Times New Roman"/>
          <w:sz w:val="20"/>
          <w:szCs w:val="20"/>
        </w:rPr>
        <w:t xml:space="preserve">cellen </w:t>
      </w:r>
      <w:r w:rsidR="000C2C7C">
        <w:rPr>
          <w:rFonts w:ascii="Times New Roman" w:hAnsi="Times New Roman" w:cs="Times New Roman"/>
          <w:sz w:val="20"/>
          <w:szCs w:val="20"/>
        </w:rPr>
        <w:t>met minder dan vijf waarnemingen</w:t>
      </w:r>
      <w:r w:rsidR="000C2C7C" w:rsidRPr="00402531">
        <w:rPr>
          <w:rFonts w:ascii="Times New Roman" w:hAnsi="Times New Roman" w:cs="Times New Roman"/>
          <w:sz w:val="20"/>
          <w:szCs w:val="20"/>
        </w:rPr>
        <w:t>.</w:t>
      </w:r>
    </w:p>
    <w:p w:rsidR="005F3F20" w:rsidRPr="0061740E" w:rsidRDefault="005F3F20" w:rsidP="005F3F20">
      <w:pPr>
        <w:pStyle w:val="H5"/>
      </w:pPr>
    </w:p>
    <w:p w:rsidR="005F3F20" w:rsidRPr="0061740E" w:rsidRDefault="005F3F20" w:rsidP="005F3F20">
      <w:pPr>
        <w:pStyle w:val="H5"/>
      </w:pPr>
      <w:r w:rsidRPr="0061740E">
        <w:t>Gem</w:t>
      </w:r>
      <w:r w:rsidR="00D87589" w:rsidRPr="0061740E">
        <w:t>iddelde elektriciteitslevering</w:t>
      </w:r>
      <w:r w:rsidR="009307CA" w:rsidRPr="0061740E">
        <w:t xml:space="preserve"> </w:t>
      </w:r>
      <w:r w:rsidR="00D87589" w:rsidRPr="0061740E">
        <w:t xml:space="preserve">aan </w:t>
      </w:r>
      <w:r w:rsidR="009307CA" w:rsidRPr="0061740E">
        <w:t>woningen</w:t>
      </w:r>
    </w:p>
    <w:p w:rsidR="005F3F20" w:rsidRPr="0076688D" w:rsidRDefault="00D87589" w:rsidP="0076688D">
      <w:pPr>
        <w:rPr>
          <w:rFonts w:ascii="Times New Roman" w:hAnsi="Times New Roman" w:cs="Times New Roman"/>
          <w:sz w:val="20"/>
          <w:szCs w:val="20"/>
        </w:rPr>
      </w:pPr>
      <w:r w:rsidRPr="0076688D">
        <w:rPr>
          <w:rFonts w:ascii="Times New Roman" w:hAnsi="Times New Roman" w:cs="Times New Roman"/>
          <w:sz w:val="20"/>
          <w:szCs w:val="20"/>
        </w:rPr>
        <w:t>De gemiddelde elektriciteitslevering in het betreffende jaar</w:t>
      </w:r>
      <w:r w:rsidR="005F3F20" w:rsidRPr="0076688D">
        <w:rPr>
          <w:rFonts w:ascii="Times New Roman" w:hAnsi="Times New Roman" w:cs="Times New Roman"/>
          <w:sz w:val="20"/>
          <w:szCs w:val="20"/>
        </w:rPr>
        <w:t xml:space="preserve"> </w:t>
      </w:r>
      <w:r w:rsidRPr="0076688D">
        <w:rPr>
          <w:rFonts w:ascii="Times New Roman" w:hAnsi="Times New Roman" w:cs="Times New Roman"/>
          <w:sz w:val="20"/>
          <w:szCs w:val="20"/>
        </w:rPr>
        <w:t>a</w:t>
      </w:r>
      <w:r w:rsidR="005F3F20" w:rsidRPr="0076688D">
        <w:rPr>
          <w:rFonts w:ascii="Times New Roman" w:hAnsi="Times New Roman" w:cs="Times New Roman"/>
          <w:sz w:val="20"/>
          <w:szCs w:val="20"/>
        </w:rPr>
        <w:t xml:space="preserve">an particuliere woningen, zoals berekend vanuit de aansluitingenregisters van de </w:t>
      </w:r>
      <w:r w:rsidR="006C680D" w:rsidRPr="0076688D">
        <w:rPr>
          <w:rFonts w:ascii="Times New Roman" w:hAnsi="Times New Roman" w:cs="Times New Roman"/>
          <w:sz w:val="20"/>
          <w:szCs w:val="20"/>
        </w:rPr>
        <w:t>netbeheerders</w:t>
      </w:r>
      <w:r w:rsidR="005F3F20" w:rsidRPr="0076688D">
        <w:rPr>
          <w:rFonts w:ascii="Times New Roman" w:hAnsi="Times New Roman" w:cs="Times New Roman"/>
          <w:sz w:val="20"/>
          <w:szCs w:val="20"/>
        </w:rPr>
        <w:t xml:space="preserve">. De eigen opwekking van elektriciteit, bijvoorbeeld met zonnepanelen, is niet bekend en dus ook niet inbegrepen in </w:t>
      </w:r>
      <w:r w:rsidRPr="0076688D">
        <w:rPr>
          <w:rFonts w:ascii="Times New Roman" w:hAnsi="Times New Roman" w:cs="Times New Roman"/>
          <w:sz w:val="20"/>
          <w:szCs w:val="20"/>
        </w:rPr>
        <w:t>de</w:t>
      </w:r>
      <w:r w:rsidR="005F3F20" w:rsidRPr="0076688D">
        <w:rPr>
          <w:rFonts w:ascii="Times New Roman" w:hAnsi="Times New Roman" w:cs="Times New Roman"/>
          <w:sz w:val="20"/>
          <w:szCs w:val="20"/>
        </w:rPr>
        <w:t xml:space="preserve"> gemiddelde jaar</w:t>
      </w:r>
      <w:r w:rsidRPr="0076688D">
        <w:rPr>
          <w:rFonts w:ascii="Times New Roman" w:hAnsi="Times New Roman" w:cs="Times New Roman"/>
          <w:sz w:val="20"/>
          <w:szCs w:val="20"/>
        </w:rPr>
        <w:t>levering</w:t>
      </w:r>
      <w:r w:rsidR="005F3F20" w:rsidRPr="0076688D">
        <w:rPr>
          <w:rFonts w:ascii="Times New Roman" w:hAnsi="Times New Roman" w:cs="Times New Roman"/>
          <w:sz w:val="20"/>
          <w:szCs w:val="20"/>
        </w:rPr>
        <w:t xml:space="preserve">. Ook collectieve verbruiken van bijvoorbeeld liftinstallaties of hal-/galerijverlichting zijn niet meegeteld bij de berekening. </w:t>
      </w:r>
    </w:p>
    <w:p w:rsidR="000C2C7C" w:rsidRPr="0076688D" w:rsidRDefault="005F3F20" w:rsidP="000C2C7C">
      <w:pPr>
        <w:rPr>
          <w:rFonts w:ascii="Times New Roman" w:hAnsi="Times New Roman" w:cs="Times New Roman"/>
          <w:sz w:val="20"/>
          <w:szCs w:val="20"/>
        </w:rPr>
      </w:pPr>
      <w:r w:rsidRPr="0076688D">
        <w:rPr>
          <w:rFonts w:ascii="Times New Roman" w:hAnsi="Times New Roman" w:cs="Times New Roman"/>
          <w:sz w:val="20"/>
          <w:szCs w:val="20"/>
        </w:rPr>
        <w:t xml:space="preserve">De cijfers zijn afgerond op </w:t>
      </w:r>
      <w:r w:rsidR="00152BF1" w:rsidRPr="0076688D">
        <w:rPr>
          <w:rFonts w:ascii="Times New Roman" w:hAnsi="Times New Roman" w:cs="Times New Roman"/>
          <w:sz w:val="20"/>
          <w:szCs w:val="20"/>
        </w:rPr>
        <w:t>tien</w:t>
      </w:r>
      <w:r w:rsidRPr="0076688D">
        <w:rPr>
          <w:rFonts w:ascii="Times New Roman" w:hAnsi="Times New Roman" w:cs="Times New Roman"/>
          <w:sz w:val="20"/>
          <w:szCs w:val="20"/>
        </w:rPr>
        <w:t xml:space="preserve">tallen en vermeld bij </w:t>
      </w:r>
      <w:r w:rsidR="00152BF1" w:rsidRPr="0076688D">
        <w:rPr>
          <w:rFonts w:ascii="Times New Roman" w:hAnsi="Times New Roman" w:cs="Times New Roman"/>
          <w:sz w:val="20"/>
          <w:szCs w:val="20"/>
        </w:rPr>
        <w:t>vijf</w:t>
      </w:r>
      <w:r w:rsidRPr="0076688D">
        <w:rPr>
          <w:rFonts w:ascii="Times New Roman" w:hAnsi="Times New Roman" w:cs="Times New Roman"/>
          <w:sz w:val="20"/>
          <w:szCs w:val="20"/>
        </w:rPr>
        <w:t xml:space="preserve"> of meer (bewoonde) woningen.</w:t>
      </w:r>
      <w:r w:rsidR="000C2C7C">
        <w:rPr>
          <w:rFonts w:ascii="Times New Roman" w:hAnsi="Times New Roman" w:cs="Times New Roman"/>
          <w:sz w:val="20"/>
          <w:szCs w:val="20"/>
        </w:rPr>
        <w:t xml:space="preserve"> H</w:t>
      </w:r>
      <w:r w:rsidR="000C2C7C" w:rsidRPr="00402531">
        <w:rPr>
          <w:rFonts w:ascii="Times New Roman" w:hAnsi="Times New Roman" w:cs="Times New Roman"/>
          <w:sz w:val="20"/>
          <w:szCs w:val="20"/>
        </w:rPr>
        <w:t xml:space="preserve">et symbool ‘.’ </w:t>
      </w:r>
      <w:r w:rsidR="000C2C7C">
        <w:rPr>
          <w:rFonts w:ascii="Times New Roman" w:hAnsi="Times New Roman" w:cs="Times New Roman"/>
          <w:sz w:val="20"/>
          <w:szCs w:val="20"/>
        </w:rPr>
        <w:t>wordt g</w:t>
      </w:r>
      <w:r w:rsidR="000C2C7C" w:rsidRPr="00402531">
        <w:rPr>
          <w:rFonts w:ascii="Times New Roman" w:hAnsi="Times New Roman" w:cs="Times New Roman"/>
          <w:sz w:val="20"/>
          <w:szCs w:val="20"/>
        </w:rPr>
        <w:t xml:space="preserve">ebruikt voor </w:t>
      </w:r>
      <w:r w:rsidR="000C2C7C">
        <w:rPr>
          <w:rFonts w:ascii="Times New Roman" w:hAnsi="Times New Roman" w:cs="Times New Roman"/>
          <w:sz w:val="20"/>
          <w:szCs w:val="20"/>
        </w:rPr>
        <w:t xml:space="preserve">alle </w:t>
      </w:r>
      <w:r w:rsidR="000C2C7C" w:rsidRPr="00402531">
        <w:rPr>
          <w:rFonts w:ascii="Times New Roman" w:hAnsi="Times New Roman" w:cs="Times New Roman"/>
          <w:sz w:val="20"/>
          <w:szCs w:val="20"/>
        </w:rPr>
        <w:t xml:space="preserve">cellen </w:t>
      </w:r>
      <w:r w:rsidR="000C2C7C">
        <w:rPr>
          <w:rFonts w:ascii="Times New Roman" w:hAnsi="Times New Roman" w:cs="Times New Roman"/>
          <w:sz w:val="20"/>
          <w:szCs w:val="20"/>
        </w:rPr>
        <w:t>met minder dan vijf waarnemingen</w:t>
      </w:r>
      <w:r w:rsidR="000C2C7C" w:rsidRPr="00402531">
        <w:rPr>
          <w:rFonts w:ascii="Times New Roman" w:hAnsi="Times New Roman" w:cs="Times New Roman"/>
          <w:sz w:val="20"/>
          <w:szCs w:val="20"/>
        </w:rPr>
        <w:t>.</w:t>
      </w:r>
    </w:p>
    <w:p w:rsidR="007E0E8A" w:rsidRPr="0061740E" w:rsidRDefault="007E0E8A" w:rsidP="005F3F20">
      <w:pPr>
        <w:pStyle w:val="Preformatted"/>
        <w:tabs>
          <w:tab w:val="clear" w:pos="9590"/>
        </w:tabs>
        <w:rPr>
          <w:rFonts w:ascii="Times New Roman" w:hAnsi="Times New Roman" w:cs="Times New Roman"/>
        </w:rPr>
      </w:pPr>
    </w:p>
    <w:p w:rsidR="007E0E8A" w:rsidRPr="0061740E" w:rsidRDefault="007E0E8A" w:rsidP="005F3F20">
      <w:pPr>
        <w:pStyle w:val="Preformatted"/>
        <w:tabs>
          <w:tab w:val="clear" w:pos="9590"/>
        </w:tabs>
        <w:rPr>
          <w:rFonts w:ascii="Times New Roman" w:hAnsi="Times New Roman" w:cs="Times New Roman"/>
        </w:rPr>
      </w:pPr>
    </w:p>
    <w:p w:rsidR="00207FBE" w:rsidRPr="0061740E" w:rsidRDefault="00207FBE" w:rsidP="00207FBE">
      <w:pPr>
        <w:pStyle w:val="H5"/>
      </w:pPr>
      <w:r w:rsidRPr="0061740E">
        <w:t>Gemiddeld</w:t>
      </w:r>
      <w:r w:rsidR="00D87589" w:rsidRPr="0061740E">
        <w:t>e</w:t>
      </w:r>
      <w:r w:rsidRPr="0061740E">
        <w:t xml:space="preserve"> aardgas</w:t>
      </w:r>
      <w:r w:rsidR="00D87589" w:rsidRPr="0061740E">
        <w:t xml:space="preserve">levering aan </w:t>
      </w:r>
      <w:r w:rsidRPr="0061740E">
        <w:t>bedrijven</w:t>
      </w:r>
    </w:p>
    <w:p w:rsidR="00DA7466" w:rsidRPr="0076688D" w:rsidRDefault="00D87589" w:rsidP="00DA7466">
      <w:pPr>
        <w:rPr>
          <w:rFonts w:ascii="Times New Roman" w:hAnsi="Times New Roman" w:cs="Times New Roman"/>
          <w:sz w:val="20"/>
          <w:szCs w:val="20"/>
        </w:rPr>
      </w:pPr>
      <w:r w:rsidRPr="00E14868">
        <w:rPr>
          <w:rFonts w:ascii="Times New Roman" w:hAnsi="Times New Roman" w:cs="Times New Roman"/>
          <w:sz w:val="20"/>
          <w:szCs w:val="20"/>
        </w:rPr>
        <w:t>De gemiddelde aardgaslevering in het betreffende jaar a</w:t>
      </w:r>
      <w:r w:rsidR="00207FBE" w:rsidRPr="00E14868">
        <w:rPr>
          <w:rFonts w:ascii="Times New Roman" w:hAnsi="Times New Roman" w:cs="Times New Roman"/>
          <w:sz w:val="20"/>
          <w:szCs w:val="20"/>
        </w:rPr>
        <w:t xml:space="preserve">an bedrijven, zoals berekend uit de aansluitingenregisters van de netbeheerders. Aansluitingen worden tot de populatie bedrijven gerekend indien er in de </w:t>
      </w:r>
      <w:r w:rsidR="0099427F" w:rsidRPr="00682683">
        <w:rPr>
          <w:rFonts w:ascii="Times New Roman" w:hAnsi="Times New Roman" w:cs="Times New Roman"/>
          <w:sz w:val="20"/>
          <w:szCs w:val="20"/>
        </w:rPr>
        <w:t>Basis</w:t>
      </w:r>
      <w:r w:rsidR="0099427F">
        <w:rPr>
          <w:rFonts w:ascii="Times New Roman" w:hAnsi="Times New Roman" w:cs="Times New Roman"/>
          <w:sz w:val="20"/>
          <w:szCs w:val="20"/>
        </w:rPr>
        <w:t>r</w:t>
      </w:r>
      <w:r w:rsidR="0099427F" w:rsidRPr="00682683">
        <w:rPr>
          <w:rFonts w:ascii="Times New Roman" w:hAnsi="Times New Roman" w:cs="Times New Roman"/>
          <w:sz w:val="20"/>
          <w:szCs w:val="20"/>
        </w:rPr>
        <w:t>egistraties</w:t>
      </w:r>
      <w:r w:rsidR="00207FBE" w:rsidRPr="00E14868">
        <w:rPr>
          <w:rFonts w:ascii="Times New Roman" w:hAnsi="Times New Roman" w:cs="Times New Roman"/>
          <w:sz w:val="20"/>
          <w:szCs w:val="20"/>
        </w:rPr>
        <w:t xml:space="preserve"> Adressen en Gebouwen (BAG) sprake is van ten minste één niet-woonfunctie dan wel als uit de analyses blijkt dat er ook bedrijfsmatig gebruik van energie plaatsvindt.</w:t>
      </w:r>
      <w:r w:rsidR="00DA7466">
        <w:rPr>
          <w:rFonts w:ascii="Times New Roman" w:hAnsi="Times New Roman" w:cs="Times New Roman"/>
          <w:sz w:val="20"/>
          <w:szCs w:val="20"/>
        </w:rPr>
        <w:t xml:space="preserve"> Bij gecombineerd particulier en zakelijk gebruik </w:t>
      </w:r>
      <w:r w:rsidR="00DA7466" w:rsidRPr="00DA7466">
        <w:rPr>
          <w:rFonts w:ascii="Times New Roman" w:hAnsi="Times New Roman" w:cs="Times New Roman"/>
          <w:sz w:val="20"/>
          <w:szCs w:val="20"/>
        </w:rPr>
        <w:t>wordt voor het  aandeel van de woning een levering toegekend door middel van imputatie op basis van kenmerken van de woning.</w:t>
      </w:r>
      <w:r w:rsidR="00DA7466">
        <w:rPr>
          <w:rFonts w:ascii="Times New Roman" w:hAnsi="Times New Roman" w:cs="Times New Roman"/>
          <w:sz w:val="20"/>
          <w:szCs w:val="20"/>
        </w:rPr>
        <w:t xml:space="preserve"> </w:t>
      </w:r>
      <w:r w:rsidR="00DA7466" w:rsidRPr="00DA7466">
        <w:rPr>
          <w:rFonts w:ascii="Times New Roman" w:hAnsi="Times New Roman" w:cs="Times New Roman"/>
          <w:sz w:val="20"/>
          <w:szCs w:val="20"/>
        </w:rPr>
        <w:t xml:space="preserve">Het restant van de levering wordt toegekend aan de sector “bedrijven”. </w:t>
      </w:r>
      <w:r w:rsidR="00DA7466">
        <w:rPr>
          <w:rFonts w:ascii="Times New Roman" w:hAnsi="Times New Roman" w:cs="Times New Roman"/>
          <w:sz w:val="20"/>
          <w:szCs w:val="20"/>
        </w:rPr>
        <w:t xml:space="preserve">Ook als de levering aan de </w:t>
      </w:r>
      <w:r w:rsidR="00DA7466" w:rsidRPr="00DA7466">
        <w:rPr>
          <w:rFonts w:ascii="Times New Roman" w:hAnsi="Times New Roman" w:cs="Times New Roman"/>
          <w:sz w:val="20"/>
          <w:szCs w:val="20"/>
        </w:rPr>
        <w:t>betreffende woning hoger is dan een statistisch bepaalde bovengrens (</w:t>
      </w:r>
      <w:r w:rsidR="00DA7466">
        <w:rPr>
          <w:rFonts w:ascii="Times New Roman" w:hAnsi="Times New Roman" w:cs="Times New Roman"/>
          <w:sz w:val="20"/>
          <w:szCs w:val="20"/>
        </w:rPr>
        <w:t xml:space="preserve">het 99e percentiel voor dat </w:t>
      </w:r>
      <w:r w:rsidR="00DA7466" w:rsidRPr="00DA7466">
        <w:rPr>
          <w:rFonts w:ascii="Times New Roman" w:hAnsi="Times New Roman" w:cs="Times New Roman"/>
          <w:sz w:val="20"/>
          <w:szCs w:val="20"/>
        </w:rPr>
        <w:t xml:space="preserve"> woningtype) wordt de energielevering geïmputeerd en het resterende verbruik als zakelijk beschouwd.</w:t>
      </w:r>
    </w:p>
    <w:p w:rsidR="00DA7466" w:rsidRPr="00E14868" w:rsidRDefault="00DA7466" w:rsidP="00E14868">
      <w:pPr>
        <w:rPr>
          <w:rFonts w:ascii="Times New Roman" w:hAnsi="Times New Roman" w:cs="Times New Roman"/>
          <w:sz w:val="20"/>
          <w:szCs w:val="20"/>
        </w:rPr>
      </w:pPr>
    </w:p>
    <w:p w:rsidR="00207FBE" w:rsidRPr="0061740E" w:rsidRDefault="00207FBE" w:rsidP="00E14868">
      <w:pPr>
        <w:rPr>
          <w:rFonts w:ascii="Times New Roman" w:hAnsi="Times New Roman" w:cs="Times New Roman"/>
          <w:sz w:val="20"/>
          <w:szCs w:val="20"/>
        </w:rPr>
      </w:pPr>
      <w:r w:rsidRPr="0061740E">
        <w:rPr>
          <w:rFonts w:ascii="Times New Roman" w:hAnsi="Times New Roman" w:cs="Times New Roman"/>
          <w:sz w:val="20"/>
          <w:szCs w:val="20"/>
        </w:rPr>
        <w:t xml:space="preserve">Bij bedrijven kunnen ook meerdere aansluitingen op een adres voorkomen. Deze aansluitingen worden gegroepeerd per adres, waarna een gemiddelde </w:t>
      </w:r>
      <w:r w:rsidR="003E51AD">
        <w:rPr>
          <w:rFonts w:ascii="Times New Roman" w:hAnsi="Times New Roman" w:cs="Times New Roman"/>
          <w:sz w:val="20"/>
          <w:szCs w:val="20"/>
        </w:rPr>
        <w:t>per</w:t>
      </w:r>
      <w:r w:rsidRPr="0061740E">
        <w:rPr>
          <w:rFonts w:ascii="Times New Roman" w:hAnsi="Times New Roman" w:cs="Times New Roman"/>
          <w:sz w:val="20"/>
          <w:szCs w:val="20"/>
        </w:rPr>
        <w:t xml:space="preserve"> postcode-6 wordt berekend.</w:t>
      </w:r>
    </w:p>
    <w:p w:rsidR="000C2C7C" w:rsidRPr="0076688D" w:rsidRDefault="00207FBE" w:rsidP="000C2C7C">
      <w:pPr>
        <w:rPr>
          <w:rFonts w:ascii="Times New Roman" w:hAnsi="Times New Roman" w:cs="Times New Roman"/>
          <w:sz w:val="20"/>
          <w:szCs w:val="20"/>
        </w:rPr>
      </w:pPr>
      <w:r w:rsidRPr="00E14868">
        <w:rPr>
          <w:rFonts w:ascii="Times New Roman" w:hAnsi="Times New Roman" w:cs="Times New Roman"/>
          <w:sz w:val="20"/>
          <w:szCs w:val="20"/>
        </w:rPr>
        <w:t xml:space="preserve">De cijfers zijn afgerond op tientallen en vermeld bij vijf of meer </w:t>
      </w:r>
      <w:r w:rsidR="000C2C7C">
        <w:rPr>
          <w:rFonts w:ascii="Times New Roman" w:hAnsi="Times New Roman" w:cs="Times New Roman"/>
          <w:sz w:val="20"/>
          <w:szCs w:val="20"/>
        </w:rPr>
        <w:t>zakelijke</w:t>
      </w:r>
      <w:r w:rsidR="000C2C7C" w:rsidRPr="00E14868">
        <w:rPr>
          <w:rFonts w:ascii="Times New Roman" w:hAnsi="Times New Roman" w:cs="Times New Roman"/>
          <w:sz w:val="20"/>
          <w:szCs w:val="20"/>
        </w:rPr>
        <w:t xml:space="preserve"> </w:t>
      </w:r>
      <w:r w:rsidR="00E453F9" w:rsidRPr="00E14868">
        <w:rPr>
          <w:rFonts w:ascii="Times New Roman" w:hAnsi="Times New Roman" w:cs="Times New Roman"/>
          <w:sz w:val="20"/>
          <w:szCs w:val="20"/>
        </w:rPr>
        <w:t>adressen</w:t>
      </w:r>
      <w:r w:rsidRPr="00E14868">
        <w:rPr>
          <w:rFonts w:ascii="Times New Roman" w:hAnsi="Times New Roman" w:cs="Times New Roman"/>
          <w:sz w:val="20"/>
          <w:szCs w:val="20"/>
        </w:rPr>
        <w:t>.</w:t>
      </w:r>
      <w:r w:rsidR="000C2C7C">
        <w:rPr>
          <w:rFonts w:ascii="Times New Roman" w:hAnsi="Times New Roman" w:cs="Times New Roman"/>
          <w:sz w:val="20"/>
          <w:szCs w:val="20"/>
        </w:rPr>
        <w:t xml:space="preserve"> H</w:t>
      </w:r>
      <w:r w:rsidR="000C2C7C" w:rsidRPr="00402531">
        <w:rPr>
          <w:rFonts w:ascii="Times New Roman" w:hAnsi="Times New Roman" w:cs="Times New Roman"/>
          <w:sz w:val="20"/>
          <w:szCs w:val="20"/>
        </w:rPr>
        <w:t xml:space="preserve">et symbool ‘.’ </w:t>
      </w:r>
      <w:r w:rsidR="000C2C7C">
        <w:rPr>
          <w:rFonts w:ascii="Times New Roman" w:hAnsi="Times New Roman" w:cs="Times New Roman"/>
          <w:sz w:val="20"/>
          <w:szCs w:val="20"/>
        </w:rPr>
        <w:t>wordt g</w:t>
      </w:r>
      <w:r w:rsidR="000C2C7C" w:rsidRPr="00402531">
        <w:rPr>
          <w:rFonts w:ascii="Times New Roman" w:hAnsi="Times New Roman" w:cs="Times New Roman"/>
          <w:sz w:val="20"/>
          <w:szCs w:val="20"/>
        </w:rPr>
        <w:t xml:space="preserve">ebruikt voor </w:t>
      </w:r>
      <w:r w:rsidR="000C2C7C">
        <w:rPr>
          <w:rFonts w:ascii="Times New Roman" w:hAnsi="Times New Roman" w:cs="Times New Roman"/>
          <w:sz w:val="20"/>
          <w:szCs w:val="20"/>
        </w:rPr>
        <w:t xml:space="preserve">alle </w:t>
      </w:r>
      <w:r w:rsidR="000C2C7C" w:rsidRPr="00402531">
        <w:rPr>
          <w:rFonts w:ascii="Times New Roman" w:hAnsi="Times New Roman" w:cs="Times New Roman"/>
          <w:sz w:val="20"/>
          <w:szCs w:val="20"/>
        </w:rPr>
        <w:t xml:space="preserve">cellen </w:t>
      </w:r>
      <w:r w:rsidR="000C2C7C">
        <w:rPr>
          <w:rFonts w:ascii="Times New Roman" w:hAnsi="Times New Roman" w:cs="Times New Roman"/>
          <w:sz w:val="20"/>
          <w:szCs w:val="20"/>
        </w:rPr>
        <w:t>met minder dan vijf waarnemingen</w:t>
      </w:r>
      <w:r w:rsidR="000C2C7C" w:rsidRPr="00402531">
        <w:rPr>
          <w:rFonts w:ascii="Times New Roman" w:hAnsi="Times New Roman" w:cs="Times New Roman"/>
          <w:sz w:val="20"/>
          <w:szCs w:val="20"/>
        </w:rPr>
        <w:t>.</w:t>
      </w:r>
    </w:p>
    <w:p w:rsidR="00207FBE" w:rsidRPr="00E14868" w:rsidRDefault="00207FBE" w:rsidP="00E14868">
      <w:pPr>
        <w:rPr>
          <w:rFonts w:ascii="Times New Roman" w:hAnsi="Times New Roman" w:cs="Times New Roman"/>
          <w:sz w:val="20"/>
          <w:szCs w:val="20"/>
        </w:rPr>
      </w:pPr>
    </w:p>
    <w:p w:rsidR="007E0E8A" w:rsidRPr="0061740E" w:rsidRDefault="007E0E8A" w:rsidP="005F3F20">
      <w:pPr>
        <w:pStyle w:val="Preformatted"/>
        <w:tabs>
          <w:tab w:val="clear" w:pos="9590"/>
        </w:tabs>
        <w:rPr>
          <w:rFonts w:ascii="Times New Roman" w:hAnsi="Times New Roman" w:cs="Times New Roman"/>
        </w:rPr>
      </w:pPr>
    </w:p>
    <w:p w:rsidR="007E0E8A" w:rsidRPr="0061740E" w:rsidRDefault="007E0E8A" w:rsidP="005F3F20">
      <w:pPr>
        <w:pStyle w:val="Preformatted"/>
        <w:tabs>
          <w:tab w:val="clear" w:pos="9590"/>
        </w:tabs>
        <w:rPr>
          <w:rFonts w:ascii="Times New Roman" w:hAnsi="Times New Roman" w:cs="Times New Roman"/>
        </w:rPr>
      </w:pPr>
    </w:p>
    <w:p w:rsidR="00207FBE" w:rsidRPr="0061740E" w:rsidRDefault="00207FBE" w:rsidP="00207FBE">
      <w:pPr>
        <w:pStyle w:val="H5"/>
      </w:pPr>
      <w:r w:rsidRPr="0061740E">
        <w:t xml:space="preserve">Gemiddelde elektriciteitslevering </w:t>
      </w:r>
      <w:r w:rsidR="00D87589" w:rsidRPr="0061740E">
        <w:t xml:space="preserve">aan </w:t>
      </w:r>
      <w:r w:rsidRPr="0061740E">
        <w:t>bedrijven</w:t>
      </w:r>
    </w:p>
    <w:p w:rsidR="00071F0D" w:rsidRDefault="00D87589" w:rsidP="00E14868">
      <w:pPr>
        <w:rPr>
          <w:rFonts w:ascii="Times New Roman" w:hAnsi="Times New Roman" w:cs="Times New Roman"/>
          <w:sz w:val="20"/>
          <w:szCs w:val="20"/>
        </w:rPr>
      </w:pPr>
      <w:r w:rsidRPr="00E14868">
        <w:rPr>
          <w:rFonts w:ascii="Times New Roman" w:hAnsi="Times New Roman" w:cs="Times New Roman"/>
          <w:sz w:val="20"/>
          <w:szCs w:val="20"/>
        </w:rPr>
        <w:t>De gemiddelde elektriciteitslevering in het betreffende jaar a</w:t>
      </w:r>
      <w:r w:rsidR="00207FBE" w:rsidRPr="00E14868">
        <w:rPr>
          <w:rFonts w:ascii="Times New Roman" w:hAnsi="Times New Roman" w:cs="Times New Roman"/>
          <w:sz w:val="20"/>
          <w:szCs w:val="20"/>
        </w:rPr>
        <w:t>an bedrijven, zoals berekend uit de aansluitingen</w:t>
      </w:r>
      <w:r w:rsidR="003F4E08">
        <w:rPr>
          <w:rFonts w:ascii="Times New Roman" w:hAnsi="Times New Roman" w:cs="Times New Roman"/>
          <w:sz w:val="20"/>
          <w:szCs w:val="20"/>
        </w:rPr>
        <w:t xml:space="preserve">- </w:t>
      </w:r>
      <w:r w:rsidR="00207FBE" w:rsidRPr="00E14868">
        <w:rPr>
          <w:rFonts w:ascii="Times New Roman" w:hAnsi="Times New Roman" w:cs="Times New Roman"/>
          <w:sz w:val="20"/>
          <w:szCs w:val="20"/>
        </w:rPr>
        <w:t xml:space="preserve">registers van de netbeheerders. </w:t>
      </w:r>
      <w:r w:rsidR="00DA7466" w:rsidRPr="00E14868">
        <w:rPr>
          <w:rFonts w:ascii="Times New Roman" w:hAnsi="Times New Roman" w:cs="Times New Roman"/>
          <w:sz w:val="20"/>
          <w:szCs w:val="20"/>
        </w:rPr>
        <w:t xml:space="preserve">Aansluitingen worden tot de populatie bedrijven gerekend indien er in de </w:t>
      </w:r>
      <w:r w:rsidR="00DA7466" w:rsidRPr="00682683">
        <w:rPr>
          <w:rFonts w:ascii="Times New Roman" w:hAnsi="Times New Roman" w:cs="Times New Roman"/>
          <w:sz w:val="20"/>
          <w:szCs w:val="20"/>
        </w:rPr>
        <w:t>Basis</w:t>
      </w:r>
      <w:r w:rsidR="00DA7466">
        <w:rPr>
          <w:rFonts w:ascii="Times New Roman" w:hAnsi="Times New Roman" w:cs="Times New Roman"/>
          <w:sz w:val="20"/>
          <w:szCs w:val="20"/>
        </w:rPr>
        <w:t>r</w:t>
      </w:r>
      <w:r w:rsidR="00DA7466" w:rsidRPr="00682683">
        <w:rPr>
          <w:rFonts w:ascii="Times New Roman" w:hAnsi="Times New Roman" w:cs="Times New Roman"/>
          <w:sz w:val="20"/>
          <w:szCs w:val="20"/>
        </w:rPr>
        <w:t>egistraties</w:t>
      </w:r>
      <w:r w:rsidR="00DA7466" w:rsidRPr="00E14868">
        <w:rPr>
          <w:rFonts w:ascii="Times New Roman" w:hAnsi="Times New Roman" w:cs="Times New Roman"/>
          <w:sz w:val="20"/>
          <w:szCs w:val="20"/>
        </w:rPr>
        <w:t xml:space="preserve"> Adressen en Gebouwen (BAG) sprake is van ten minste één niet-woonfunctie dan wel als uit de analyses blijkt dat er ook bedrijfsmatig gebruik van energie plaatsvindt.</w:t>
      </w:r>
      <w:r w:rsidR="00DA7466">
        <w:rPr>
          <w:rFonts w:ascii="Times New Roman" w:hAnsi="Times New Roman" w:cs="Times New Roman"/>
          <w:sz w:val="20"/>
          <w:szCs w:val="20"/>
        </w:rPr>
        <w:t xml:space="preserve"> Bij gecombineerd particulier en zakelijk gebruik </w:t>
      </w:r>
      <w:r w:rsidR="00DA7466" w:rsidRPr="00DA7466">
        <w:rPr>
          <w:rFonts w:ascii="Times New Roman" w:hAnsi="Times New Roman" w:cs="Times New Roman"/>
          <w:sz w:val="20"/>
          <w:szCs w:val="20"/>
        </w:rPr>
        <w:t>wordt voor het  aandeel van de woning een levering toegekend door middel van imputatie op basis van kenmerken van de woning.</w:t>
      </w:r>
      <w:r w:rsidR="00DA7466">
        <w:rPr>
          <w:rFonts w:ascii="Times New Roman" w:hAnsi="Times New Roman" w:cs="Times New Roman"/>
          <w:sz w:val="20"/>
          <w:szCs w:val="20"/>
        </w:rPr>
        <w:t xml:space="preserve"> </w:t>
      </w:r>
      <w:r w:rsidR="00DA7466" w:rsidRPr="00DA7466">
        <w:rPr>
          <w:rFonts w:ascii="Times New Roman" w:hAnsi="Times New Roman" w:cs="Times New Roman"/>
          <w:sz w:val="20"/>
          <w:szCs w:val="20"/>
        </w:rPr>
        <w:t xml:space="preserve">Het restant van de levering wordt toegekend aan de sector “bedrijven”. </w:t>
      </w:r>
      <w:r w:rsidR="00DA7466">
        <w:rPr>
          <w:rFonts w:ascii="Times New Roman" w:hAnsi="Times New Roman" w:cs="Times New Roman"/>
          <w:sz w:val="20"/>
          <w:szCs w:val="20"/>
        </w:rPr>
        <w:t xml:space="preserve">Ook als de levering aan de </w:t>
      </w:r>
      <w:r w:rsidR="00DA7466" w:rsidRPr="00DA7466">
        <w:rPr>
          <w:rFonts w:ascii="Times New Roman" w:hAnsi="Times New Roman" w:cs="Times New Roman"/>
          <w:sz w:val="20"/>
          <w:szCs w:val="20"/>
        </w:rPr>
        <w:t>betreffende woning hoger is dan een statistisch bepaalde bovengrens (</w:t>
      </w:r>
      <w:r w:rsidR="00DA7466">
        <w:rPr>
          <w:rFonts w:ascii="Times New Roman" w:hAnsi="Times New Roman" w:cs="Times New Roman"/>
          <w:sz w:val="20"/>
          <w:szCs w:val="20"/>
        </w:rPr>
        <w:t xml:space="preserve">het 99e percentiel voor dat </w:t>
      </w:r>
      <w:r w:rsidR="00DA7466" w:rsidRPr="00DA7466">
        <w:rPr>
          <w:rFonts w:ascii="Times New Roman" w:hAnsi="Times New Roman" w:cs="Times New Roman"/>
          <w:sz w:val="20"/>
          <w:szCs w:val="20"/>
        </w:rPr>
        <w:t xml:space="preserve"> woningtype) wordt de energielevering geïmputeerd en het resterende verbruik als zakelijk beschouwd.</w:t>
      </w:r>
    </w:p>
    <w:p w:rsidR="00207FBE" w:rsidRPr="0061740E" w:rsidRDefault="00207FBE" w:rsidP="00E14868">
      <w:pPr>
        <w:rPr>
          <w:rFonts w:ascii="Times New Roman" w:hAnsi="Times New Roman" w:cs="Times New Roman"/>
          <w:sz w:val="20"/>
          <w:szCs w:val="20"/>
        </w:rPr>
      </w:pPr>
      <w:bookmarkStart w:id="0" w:name="_GoBack"/>
      <w:bookmarkEnd w:id="0"/>
      <w:r w:rsidRPr="0061740E">
        <w:rPr>
          <w:rFonts w:ascii="Times New Roman" w:hAnsi="Times New Roman" w:cs="Times New Roman"/>
          <w:sz w:val="20"/>
          <w:szCs w:val="20"/>
        </w:rPr>
        <w:t xml:space="preserve">Bij bedrijven kunnen ook meerdere aansluitingen op een adres voorkomen. Deze aansluitingen worden gegroepeerd per adres, waarna een gemiddelde </w:t>
      </w:r>
      <w:r w:rsidR="003E51AD">
        <w:rPr>
          <w:rFonts w:ascii="Times New Roman" w:hAnsi="Times New Roman" w:cs="Times New Roman"/>
          <w:sz w:val="20"/>
          <w:szCs w:val="20"/>
        </w:rPr>
        <w:t>per</w:t>
      </w:r>
      <w:r w:rsidRPr="0061740E">
        <w:rPr>
          <w:rFonts w:ascii="Times New Roman" w:hAnsi="Times New Roman" w:cs="Times New Roman"/>
          <w:sz w:val="20"/>
          <w:szCs w:val="20"/>
        </w:rPr>
        <w:t xml:space="preserve"> postcode-6 wordt berekend.</w:t>
      </w:r>
    </w:p>
    <w:p w:rsidR="00D87589" w:rsidRPr="0061740E" w:rsidRDefault="00D87589" w:rsidP="00E14868">
      <w:pPr>
        <w:rPr>
          <w:rFonts w:ascii="Times New Roman" w:hAnsi="Times New Roman" w:cs="Times New Roman"/>
          <w:sz w:val="20"/>
          <w:szCs w:val="20"/>
        </w:rPr>
      </w:pPr>
      <w:r w:rsidRPr="0061740E">
        <w:rPr>
          <w:rFonts w:ascii="Times New Roman" w:hAnsi="Times New Roman" w:cs="Times New Roman"/>
          <w:sz w:val="20"/>
          <w:szCs w:val="20"/>
        </w:rPr>
        <w:t>De eigen opwekking van elektriciteit, bijvoorbeeld met zonnepanelen, is niet bekend en dus ook niet inbegrepen in de gemiddelde jaarlevering.</w:t>
      </w:r>
    </w:p>
    <w:p w:rsidR="00207FBE" w:rsidRPr="00E14868" w:rsidRDefault="00207FBE" w:rsidP="00E14868">
      <w:pPr>
        <w:rPr>
          <w:rFonts w:ascii="Times New Roman" w:hAnsi="Times New Roman" w:cs="Times New Roman"/>
          <w:sz w:val="20"/>
          <w:szCs w:val="20"/>
        </w:rPr>
      </w:pPr>
      <w:r w:rsidRPr="00E14868">
        <w:rPr>
          <w:rFonts w:ascii="Times New Roman" w:hAnsi="Times New Roman" w:cs="Times New Roman"/>
          <w:sz w:val="20"/>
          <w:szCs w:val="20"/>
        </w:rPr>
        <w:t xml:space="preserve">De cijfers zijn afgerond op tientallen en vermeld bij </w:t>
      </w:r>
      <w:r w:rsidR="00E453F9" w:rsidRPr="00E14868">
        <w:rPr>
          <w:rFonts w:ascii="Times New Roman" w:hAnsi="Times New Roman" w:cs="Times New Roman"/>
          <w:sz w:val="20"/>
          <w:szCs w:val="20"/>
        </w:rPr>
        <w:t xml:space="preserve">vijf of meer </w:t>
      </w:r>
      <w:r w:rsidR="000C2C7C">
        <w:rPr>
          <w:rFonts w:ascii="Times New Roman" w:hAnsi="Times New Roman" w:cs="Times New Roman"/>
          <w:sz w:val="20"/>
          <w:szCs w:val="20"/>
        </w:rPr>
        <w:t xml:space="preserve">zakelijke </w:t>
      </w:r>
      <w:r w:rsidR="00E453F9" w:rsidRPr="00E14868">
        <w:rPr>
          <w:rFonts w:ascii="Times New Roman" w:hAnsi="Times New Roman" w:cs="Times New Roman"/>
          <w:sz w:val="20"/>
          <w:szCs w:val="20"/>
        </w:rPr>
        <w:t>adressen</w:t>
      </w:r>
      <w:r w:rsidRPr="00E14868">
        <w:rPr>
          <w:rFonts w:ascii="Times New Roman" w:hAnsi="Times New Roman" w:cs="Times New Roman"/>
          <w:sz w:val="20"/>
          <w:szCs w:val="20"/>
        </w:rPr>
        <w:t>.</w:t>
      </w:r>
      <w:r w:rsidR="000C2C7C">
        <w:rPr>
          <w:rFonts w:ascii="Times New Roman" w:hAnsi="Times New Roman" w:cs="Times New Roman"/>
          <w:sz w:val="20"/>
          <w:szCs w:val="20"/>
        </w:rPr>
        <w:t xml:space="preserve"> H</w:t>
      </w:r>
      <w:r w:rsidR="000C2C7C" w:rsidRPr="00402531">
        <w:rPr>
          <w:rFonts w:ascii="Times New Roman" w:hAnsi="Times New Roman" w:cs="Times New Roman"/>
          <w:sz w:val="20"/>
          <w:szCs w:val="20"/>
        </w:rPr>
        <w:t xml:space="preserve">et symbool ‘.’ </w:t>
      </w:r>
      <w:r w:rsidR="000C2C7C">
        <w:rPr>
          <w:rFonts w:ascii="Times New Roman" w:hAnsi="Times New Roman" w:cs="Times New Roman"/>
          <w:sz w:val="20"/>
          <w:szCs w:val="20"/>
        </w:rPr>
        <w:t>wordt g</w:t>
      </w:r>
      <w:r w:rsidR="000C2C7C" w:rsidRPr="00402531">
        <w:rPr>
          <w:rFonts w:ascii="Times New Roman" w:hAnsi="Times New Roman" w:cs="Times New Roman"/>
          <w:sz w:val="20"/>
          <w:szCs w:val="20"/>
        </w:rPr>
        <w:t xml:space="preserve">ebruikt voor </w:t>
      </w:r>
      <w:r w:rsidR="000C2C7C">
        <w:rPr>
          <w:rFonts w:ascii="Times New Roman" w:hAnsi="Times New Roman" w:cs="Times New Roman"/>
          <w:sz w:val="20"/>
          <w:szCs w:val="20"/>
        </w:rPr>
        <w:t xml:space="preserve">alle </w:t>
      </w:r>
      <w:r w:rsidR="000C2C7C" w:rsidRPr="00402531">
        <w:rPr>
          <w:rFonts w:ascii="Times New Roman" w:hAnsi="Times New Roman" w:cs="Times New Roman"/>
          <w:sz w:val="20"/>
          <w:szCs w:val="20"/>
        </w:rPr>
        <w:t xml:space="preserve">cellen </w:t>
      </w:r>
      <w:r w:rsidR="000C2C7C">
        <w:rPr>
          <w:rFonts w:ascii="Times New Roman" w:hAnsi="Times New Roman" w:cs="Times New Roman"/>
          <w:sz w:val="20"/>
          <w:szCs w:val="20"/>
        </w:rPr>
        <w:t>met minder dan vijf waarnemingen</w:t>
      </w:r>
      <w:r w:rsidR="000C2C7C" w:rsidRPr="00402531">
        <w:rPr>
          <w:rFonts w:ascii="Times New Roman" w:hAnsi="Times New Roman" w:cs="Times New Roman"/>
          <w:sz w:val="20"/>
          <w:szCs w:val="20"/>
        </w:rPr>
        <w:t>.</w:t>
      </w:r>
    </w:p>
    <w:p w:rsidR="007E0E8A" w:rsidRPr="0061740E" w:rsidRDefault="007E0E8A" w:rsidP="005F3F20">
      <w:pPr>
        <w:pStyle w:val="Preformatted"/>
        <w:tabs>
          <w:tab w:val="clear" w:pos="9590"/>
        </w:tabs>
        <w:rPr>
          <w:rFonts w:ascii="Times New Roman" w:hAnsi="Times New Roman" w:cs="Times New Roman"/>
        </w:rPr>
      </w:pPr>
    </w:p>
    <w:p w:rsidR="007E0E8A" w:rsidRPr="0061740E" w:rsidRDefault="007E0E8A" w:rsidP="005F3F20">
      <w:pPr>
        <w:pStyle w:val="Preformatted"/>
        <w:tabs>
          <w:tab w:val="clear" w:pos="9590"/>
        </w:tabs>
        <w:rPr>
          <w:rFonts w:ascii="Times New Roman" w:hAnsi="Times New Roman" w:cs="Times New Roman"/>
        </w:rPr>
      </w:pPr>
    </w:p>
    <w:p w:rsidR="007E0E8A" w:rsidRPr="0061740E" w:rsidRDefault="007E0E8A" w:rsidP="005F3F20">
      <w:pPr>
        <w:pStyle w:val="Preformatted"/>
        <w:tabs>
          <w:tab w:val="clear" w:pos="9590"/>
        </w:tabs>
        <w:rPr>
          <w:rFonts w:ascii="Times New Roman" w:hAnsi="Times New Roman" w:cs="Times New Roman"/>
        </w:rPr>
      </w:pPr>
    </w:p>
    <w:p w:rsidR="007E0E8A" w:rsidRPr="0061740E" w:rsidRDefault="007E0E8A" w:rsidP="005F3F20">
      <w:pPr>
        <w:pStyle w:val="Preformatted"/>
        <w:tabs>
          <w:tab w:val="clear" w:pos="9590"/>
        </w:tabs>
        <w:rPr>
          <w:rFonts w:ascii="Times New Roman" w:hAnsi="Times New Roman" w:cs="Times New Roman"/>
        </w:rPr>
      </w:pPr>
    </w:p>
    <w:p w:rsidR="007E0E8A" w:rsidRPr="0061740E" w:rsidRDefault="007E0E8A" w:rsidP="005F3F20">
      <w:pPr>
        <w:pStyle w:val="Preformatted"/>
        <w:tabs>
          <w:tab w:val="clear" w:pos="9590"/>
        </w:tabs>
        <w:rPr>
          <w:rFonts w:ascii="Times New Roman" w:hAnsi="Times New Roman" w:cs="Times New Roman"/>
        </w:rPr>
      </w:pPr>
    </w:p>
    <w:sectPr w:rsidR="007E0E8A" w:rsidRPr="0061740E" w:rsidSect="009307CA">
      <w:pgSz w:w="11906" w:h="16838"/>
      <w:pgMar w:top="1417" w:right="1273" w:bottom="1134" w:left="1273" w:header="1440" w:footer="1440"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F20"/>
    <w:rsid w:val="00000D05"/>
    <w:rsid w:val="000638BD"/>
    <w:rsid w:val="00071F0D"/>
    <w:rsid w:val="000C2C7C"/>
    <w:rsid w:val="00146E16"/>
    <w:rsid w:val="00152BF1"/>
    <w:rsid w:val="00194FE7"/>
    <w:rsid w:val="002058FA"/>
    <w:rsid w:val="00207FBE"/>
    <w:rsid w:val="00321CF4"/>
    <w:rsid w:val="003A2BF9"/>
    <w:rsid w:val="003E51AD"/>
    <w:rsid w:val="003F4E08"/>
    <w:rsid w:val="00402531"/>
    <w:rsid w:val="00517CEE"/>
    <w:rsid w:val="005B6D3F"/>
    <w:rsid w:val="005D7266"/>
    <w:rsid w:val="005F3F20"/>
    <w:rsid w:val="00601259"/>
    <w:rsid w:val="0061740E"/>
    <w:rsid w:val="00682683"/>
    <w:rsid w:val="006C680D"/>
    <w:rsid w:val="007132D6"/>
    <w:rsid w:val="0076688D"/>
    <w:rsid w:val="00785686"/>
    <w:rsid w:val="007E0E8A"/>
    <w:rsid w:val="008815E4"/>
    <w:rsid w:val="009307CA"/>
    <w:rsid w:val="0095746F"/>
    <w:rsid w:val="0099427F"/>
    <w:rsid w:val="009942F7"/>
    <w:rsid w:val="00C549E9"/>
    <w:rsid w:val="00CA3519"/>
    <w:rsid w:val="00CE7023"/>
    <w:rsid w:val="00D87589"/>
    <w:rsid w:val="00DA7466"/>
    <w:rsid w:val="00E14868"/>
    <w:rsid w:val="00E453F9"/>
    <w:rsid w:val="00E812DF"/>
    <w:rsid w:val="00EC6601"/>
    <w:rsid w:val="00F469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6DDE0"/>
  <w15:docId w15:val="{5884E796-DF72-4454-9B87-186E98897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5">
    <w:name w:val="H5"/>
    <w:basedOn w:val="Standaard"/>
    <w:next w:val="Standaard"/>
    <w:uiPriority w:val="99"/>
    <w:rsid w:val="005F3F20"/>
    <w:pPr>
      <w:keepNext/>
      <w:autoSpaceDE w:val="0"/>
      <w:autoSpaceDN w:val="0"/>
      <w:adjustRightInd w:val="0"/>
      <w:spacing w:before="100" w:after="100" w:line="240" w:lineRule="auto"/>
      <w:outlineLvl w:val="5"/>
    </w:pPr>
    <w:rPr>
      <w:rFonts w:ascii="Times New Roman" w:hAnsi="Times New Roman" w:cs="Times New Roman"/>
      <w:b/>
      <w:bCs/>
      <w:sz w:val="20"/>
      <w:szCs w:val="20"/>
    </w:rPr>
  </w:style>
  <w:style w:type="paragraph" w:customStyle="1" w:styleId="Preformatted">
    <w:name w:val="Preformatted"/>
    <w:basedOn w:val="Standaard"/>
    <w:uiPriority w:val="99"/>
    <w:rsid w:val="005F3F20"/>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spacing w:after="0" w:line="240" w:lineRule="auto"/>
    </w:pPr>
    <w:rPr>
      <w:rFonts w:ascii="Courier New" w:hAnsi="Courier New" w:cs="Courier New"/>
      <w:sz w:val="20"/>
      <w:szCs w:val="20"/>
    </w:rPr>
  </w:style>
  <w:style w:type="paragraph" w:customStyle="1" w:styleId="H4">
    <w:name w:val="H4"/>
    <w:basedOn w:val="Standaard"/>
    <w:next w:val="Standaard"/>
    <w:uiPriority w:val="99"/>
    <w:rsid w:val="007E0E8A"/>
    <w:pPr>
      <w:keepNext/>
      <w:autoSpaceDE w:val="0"/>
      <w:autoSpaceDN w:val="0"/>
      <w:adjustRightInd w:val="0"/>
      <w:spacing w:before="100" w:after="100" w:line="240" w:lineRule="auto"/>
      <w:outlineLvl w:val="4"/>
    </w:pPr>
    <w:rPr>
      <w:rFonts w:ascii="Times New Roman" w:hAnsi="Times New Roman" w:cs="Times New Roman"/>
      <w:b/>
      <w:bCs/>
      <w:sz w:val="24"/>
      <w:szCs w:val="24"/>
    </w:rPr>
  </w:style>
  <w:style w:type="character" w:styleId="Hyperlink">
    <w:name w:val="Hyperlink"/>
    <w:basedOn w:val="Standaardalinea-lettertype"/>
    <w:uiPriority w:val="99"/>
    <w:rsid w:val="007E0E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98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3455F-921B-442D-B5DC-CFFA30083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832</Words>
  <Characters>4582</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CBS</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Vroom, J.M. (Jurriën)</dc:creator>
  <cp:lastModifiedBy>Vroom, J.M. (Jurriën)</cp:lastModifiedBy>
  <cp:revision>8</cp:revision>
  <dcterms:created xsi:type="dcterms:W3CDTF">2019-03-19T09:33:00Z</dcterms:created>
  <dcterms:modified xsi:type="dcterms:W3CDTF">2022-10-17T14:59:00Z</dcterms:modified>
</cp:coreProperties>
</file>