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left"/>
      </w:pPr>
      <w:r>
        <w:rPr>
          <w:b/>
          <w:bCs/>
          <w:color w:val="2E6F40"/>
          <w:spacing w:val="20"/>
          <w:sz w:val="22"/>
          <w:szCs w:val="22"/>
        </w:rPr>
        <w:t xml:space="preserve">SMART INDORE AI GRIEVANCE PORTAL</w:t>
      </w:r>
    </w:p>
    <w:p>
      <w:pPr>
        <w:spacing w:after="100"/>
      </w:pPr>
      <w:r>
        <w:rPr>
          <w:color w:val="595959"/>
          <w:sz w:val="22"/>
          <w:szCs w:val="22"/>
        </w:rPr>
        <w:t xml:space="preserve">Product Requirements Document</w:t>
      </w:r>
    </w:p>
    <w:p>
      <w:pPr>
        <w:pBdr>
          <w:bottom w:val="single" w:color="BFBFBF" w:sz="6" w:space="8"/>
        </w:pBdr>
        <w:spacing w:after="400"/>
      </w:pPr>
    </w:p>
    <w:p>
      <w:pPr>
        <w:spacing w:after="120" w:before="200"/>
      </w:pPr>
      <w:r>
        <w:rPr>
          <w:b/>
          <w:bCs/>
          <w:color w:val="1F3864"/>
          <w:sz w:val="56"/>
          <w:szCs w:val="56"/>
        </w:rPr>
        <w:t xml:space="preserve">03 · UI/UX Requirements</w:t>
      </w:r>
    </w:p>
    <w:p>
      <w:pPr>
        <w:spacing w:after="800"/>
      </w:pPr>
      <w:r>
        <w:rPr>
          <w:i/>
          <w:iCs/>
          <w:color w:val="595959"/>
          <w:sz w:val="26"/>
          <w:szCs w:val="26"/>
        </w:rPr>
        <w:t xml:space="preserve">Design system, marketing site hero specification, and dashboard UX flows for CivicLens</w:t>
      </w:r>
    </w:p>
    <w:p>
      <w:pPr>
        <w:spacing w:before="3600"/>
      </w:pPr>
      <w:r>
        <w:rPr>
          <w:b/>
          <w:bCs/>
          <w:color w:val="1F3864"/>
          <w:sz w:val="20"/>
          <w:szCs w:val="20"/>
        </w:rPr>
        <w:t xml:space="preserve">DOCUMENT 3 OF 4 — UI/UX REQUIREMENTS</w:t>
      </w:r>
    </w:p>
    <w:p>
      <w:r>
        <w:rPr>
          <w:color w:val="595959"/>
          <w:sz w:val="20"/>
          <w:szCs w:val="20"/>
        </w:rPr>
        <w:t xml:space="preserve">Project Codename: CivicLens</w:t>
      </w:r>
    </w:p>
    <w:p>
      <w:r>
        <w:rPr>
          <w:color w:val="595959"/>
          <w:sz w:val="20"/>
          <w:szCs w:val="20"/>
        </w:rPr>
        <w:t xml:space="preserve">Scope: Pilot City — Indore, Madhya Pradesh</w:t>
      </w:r>
    </w:p>
    <w:p>
      <w:r>
        <w:rPr>
          <w:color w:val="595959"/>
          <w:sz w:val="20"/>
          <w:szCs w:val="20"/>
        </w:rPr>
        <w:t xml:space="preserve">Status: Draft v1.0</w:t>
      </w:r>
    </w:p>
    <w:p>
      <w:r>
        <w:rPr>
          <w:color w:val="595959"/>
          <w:sz w:val="20"/>
          <w:szCs w:val="20"/>
        </w:rPr>
        <w:t xml:space="preserve">Date: August 2026</w:t>
      </w:r>
    </w:p>
    <w:p>
      <w:r>
        <w:br w:type="page"/>
      </w:r>
    </w:p>
    <w:p>
      <w:pPr>
        <w:pStyle w:val="Heading1"/>
        <w:pBdr>
          <w:bottom w:val="single" w:color="2E6F40" w:sz="8" w:space="4"/>
        </w:pBdr>
        <w:spacing w:after="200" w:before="360"/>
      </w:pPr>
      <w:r>
        <w:rPr>
          <w:b/>
          <w:bCs/>
          <w:color w:val="1F3864"/>
          <w:sz w:val="32"/>
          <w:szCs w:val="32"/>
        </w:rPr>
        <w:t xml:space="preserve">1. Design Principles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1"/>
          <w:szCs w:val="21"/>
        </w:rPr>
        <w:t xml:space="preserve">Clarity over decoration — civic complaint status must be legible in seconds, especially for low-literacy or low-connectivity users.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1"/>
          <w:szCs w:val="21"/>
        </w:rPr>
        <w:t xml:space="preserve">Trust through transparency — every screen that shows a complaint must show its current status and timestamp.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1"/>
          <w:szCs w:val="21"/>
        </w:rPr>
        <w:t xml:space="preserve">Multilingual-first — layouts must not break when text expands/contracts across languages or scripts (e.g., Hindi vs. English).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1"/>
          <w:szCs w:val="21"/>
        </w:rPr>
        <w:t xml:space="preserve">Consistent premium visual language on the public/marketing surface (dark, glass, motion-forward) contrasted with a utilitarian, data-dense visual language on the operational dashboards.</w:t>
      </w:r>
    </w:p>
    <w:p>
      <w:pPr>
        <w:pStyle w:val="Heading1"/>
        <w:pBdr>
          <w:bottom w:val="single" w:color="2E6F40" w:sz="8" w:space="4"/>
        </w:pBdr>
        <w:spacing w:after="200" w:before="360"/>
      </w:pPr>
      <w:r>
        <w:rPr>
          <w:b/>
          <w:bCs/>
          <w:color w:val="1F3864"/>
          <w:sz w:val="32"/>
          <w:szCs w:val="32"/>
        </w:rPr>
        <w:t xml:space="preserve">2. Global Typography &amp; Theming</w:t>
      </w:r>
    </w:p>
    <w:p>
      <w:pPr>
        <w:pStyle w:val="Heading3"/>
        <w:spacing w:after="100" w:before="220"/>
      </w:pPr>
      <w:r>
        <w:rPr>
          <w:b/>
          <w:bCs/>
          <w:color w:val="2E6F40"/>
          <w:sz w:val="22"/>
          <w:szCs w:val="22"/>
        </w:rPr>
        <w:t xml:space="preserve">2.1 Font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1"/>
          <w:szCs w:val="21"/>
        </w:rPr>
        <w:t xml:space="preserve">Primary typeface: Inter, loaded via Google Fonts in index.html with preconnect links for fonts.googleapis.com and fonts.gstatic.com.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1"/>
          <w:szCs w:val="21"/>
        </w:rPr>
        <w:t xml:space="preserve">Weights loaded: 300, 400, 500, 600.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1"/>
          <w:szCs w:val="21"/>
        </w:rPr>
        <w:t xml:space="preserve">Body font-family: 'Inter', sans-serif with -webkit-font-smoothing: antialiased and -moz-osx-font-smoothing: grayscale applied globally.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1"/>
          <w:szCs w:val="21"/>
        </w:rPr>
        <w:t xml:space="preserve">Tailwind config extended so fontFamily.sans = ['Inter', 'sans-serif'], ensuring all font-sans utility classes resolve to Inter automatically.</w:t>
      </w:r>
    </w:p>
    <w:p>
      <w:pPr>
        <w:pStyle w:val="Heading3"/>
        <w:spacing w:after="100" w:before="220"/>
      </w:pPr>
      <w:r>
        <w:rPr>
          <w:b/>
          <w:bCs/>
          <w:color w:val="2E6F40"/>
          <w:sz w:val="22"/>
          <w:szCs w:val="22"/>
        </w:rPr>
        <w:t xml:space="preserve">2.2 Color Palette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400"/>
      </w:tblGrid>
      <w:tr>
        <w:trPr>
          <w:tblHeader/>
        </w:trPr>
        <w:tc>
          <w:tcPr>
            <w:tcW w:type="dxa" w:w="33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Token</w:t>
            </w:r>
          </w:p>
        </w:tc>
        <w:tc>
          <w:tcPr>
            <w:tcW w:type="dxa" w:w="6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Usage</w:t>
            </w:r>
          </w:p>
        </w:tc>
      </w:tr>
      <w:tr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Black background</w:t>
            </w:r>
          </w:p>
        </w:tc>
        <w:tc>
          <w:tcPr>
            <w:tcW w:type="dxa" w:w="6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Primary background for the public/marketing hero surface</w:t>
            </w:r>
          </w:p>
        </w:tc>
      </w:tr>
      <w:tr>
        <w:tc>
          <w:tcPr>
            <w:tcW w:type="dxa" w:w="3300"/>
            <w:shd w:fill="EAF1E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White text</w:t>
            </w:r>
          </w:p>
        </w:tc>
        <w:tc>
          <w:tcPr>
            <w:tcW w:type="dxa" w:w="6400"/>
            <w:shd w:fill="EAF1E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Primary text on dark backgrounds</w:t>
            </w:r>
          </w:p>
        </w:tc>
      </w:tr>
      <w:tr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Gray-300</w:t>
            </w:r>
          </w:p>
        </w:tc>
        <w:tc>
          <w:tcPr>
            <w:tcW w:type="dxa" w:w="6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Secondary/supporting text</w:t>
            </w:r>
          </w:p>
        </w:tc>
      </w:tr>
      <w:tr>
        <w:tc>
          <w:tcPr>
            <w:tcW w:type="dxa" w:w="3300"/>
            <w:shd w:fill="EAF1E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White/20 (20% opacity)</w:t>
            </w:r>
          </w:p>
        </w:tc>
        <w:tc>
          <w:tcPr>
            <w:tcW w:type="dxa" w:w="6400"/>
            <w:shd w:fill="EAF1E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Borders on glass surfaces and secondary buttons</w:t>
            </w:r>
          </w:p>
        </w:tc>
      </w:tr>
      <w:tr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No purple, no indigo</w:t>
            </w:r>
          </w:p>
        </w:tc>
        <w:tc>
          <w:tcPr>
            <w:tcW w:type="dxa" w:w="6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Explicitly excluded from the palette</w:t>
            </w:r>
          </w:p>
        </w:tc>
      </w:tr>
    </w:tbl>
    <w:p>
      <w:pPr>
        <w:pStyle w:val="Heading3"/>
        <w:spacing w:after="100" w:before="220"/>
      </w:pPr>
      <w:r>
        <w:rPr>
          <w:b/>
          <w:bCs/>
          <w:color w:val="2E6F40"/>
          <w:sz w:val="22"/>
          <w:szCs w:val="22"/>
        </w:rPr>
        <w:t xml:space="preserve">2.3 Smooth Scrolling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262626"/>
          <w:sz w:val="21"/>
          <w:szCs w:val="21"/>
        </w:rPr>
        <w:t xml:space="preserve">The public marketing site uses the Lenis library for ultra-smooth inertial scrolling across the hero and subsequent sections.</w:t>
      </w:r>
    </w:p>
    <w:p>
      <w:pPr>
        <w:pStyle w:val="Heading1"/>
        <w:pBdr>
          <w:bottom w:val="single" w:color="2E6F40" w:sz="8" w:space="4"/>
        </w:pBdr>
        <w:spacing w:after="200" w:before="360"/>
      </w:pPr>
      <w:r>
        <w:rPr>
          <w:b/>
          <w:bCs/>
          <w:color w:val="1F3864"/>
          <w:sz w:val="32"/>
          <w:szCs w:val="32"/>
        </w:rPr>
        <w:t xml:space="preserve">3. Marketing Hero Section — Detailed Specification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262626"/>
          <w:sz w:val="21"/>
          <w:szCs w:val="21"/>
        </w:rPr>
        <w:t xml:space="preserve">The hero section is the first-impression surface for the public CivicLens landing page and must be recreated exactly to the following spec.</w:t>
      </w:r>
    </w:p>
    <w:p>
      <w:pPr>
        <w:pStyle w:val="Heading3"/>
        <w:spacing w:after="100" w:before="220"/>
      </w:pPr>
      <w:r>
        <w:rPr>
          <w:b/>
          <w:bCs/>
          <w:color w:val="2E6F40"/>
          <w:sz w:val="22"/>
          <w:szCs w:val="22"/>
        </w:rPr>
        <w:t xml:space="preserve">3.1 Video Background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1"/>
          <w:szCs w:val="21"/>
        </w:rPr>
        <w:t xml:space="preserve">Full-screen background video, absolutely positioned, covering the entire viewport (object-cover).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1"/>
          <w:szCs w:val="21"/>
        </w:rPr>
        <w:t xml:space="preserve">Autoplay, loop, muted, and playsInline.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1"/>
          <w:szCs w:val="21"/>
        </w:rPr>
        <w:t xml:space="preserve">No dark overlay, gradient overlay, or semi-transparent dimming layer — the video plays raw at full brightness.</w:t>
      </w:r>
    </w:p>
    <w:p>
      <w:pPr>
        <w:pStyle w:val="Heading3"/>
        <w:spacing w:after="100" w:before="220"/>
      </w:pPr>
      <w:r>
        <w:rPr>
          <w:b/>
          <w:bCs/>
          <w:color w:val="2E6F40"/>
          <w:sz w:val="22"/>
          <w:szCs w:val="22"/>
        </w:rPr>
        <w:t xml:space="preserve">3.2 Navbar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1"/>
          <w:szCs w:val="21"/>
        </w:rPr>
        <w:t xml:space="preserve">Wrapped in horizontal page padding: px-6 on mobile, md:px-12, lg:px-16, with pt-6 top padding.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1"/>
          <w:szCs w:val="21"/>
        </w:rPr>
        <w:t xml:space="preserve">The bar itself uses the .liquid-glass class (see Section 3.5), with rounded-xl corners, px-4 py-2 padding, and a flex layout with items-center justify-between.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1"/>
          <w:szCs w:val="21"/>
        </w:rPr>
        <w:t xml:space="preserve">Left: logotype "VEX" at text-2xl, font-semibold, tracking-tight.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1"/>
          <w:szCs w:val="21"/>
        </w:rPr>
        <w:t xml:space="preserve">Center (hidden on mobile, visible md and up): navigation links "Story", "Investing", "Building", "Advisory" at text-sm with an 8-unit gap, transitioning to gray-300 on hover.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1"/>
          <w:szCs w:val="21"/>
        </w:rPr>
        <w:t xml:space="preserve">Right: "Start a Chat" button — white background, black text, px-6 py-2, rounded-lg, text-sm font-medium, hover state transitions to gray-100 background.</w:t>
      </w:r>
    </w:p>
    <w:p>
      <w:pPr>
        <w:pStyle w:val="Heading3"/>
        <w:spacing w:after="100" w:before="220"/>
      </w:pPr>
      <w:r>
        <w:rPr>
          <w:b/>
          <w:bCs/>
          <w:color w:val="2E6F40"/>
          <w:sz w:val="22"/>
          <w:szCs w:val="22"/>
        </w:rPr>
        <w:t xml:space="preserve">3.3 Hero Content Layout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1"/>
          <w:szCs w:val="21"/>
        </w:rPr>
        <w:t xml:space="preserve">Content container shares the navbar’s horizontal padding, is a flex column filling the remaining viewport height, and is pushed to the bottom via flex-1 flex flex-col justify-end with pb-12 (lg:pb-16) bottom padding.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1"/>
          <w:szCs w:val="21"/>
        </w:rPr>
        <w:t xml:space="preserve">On large screens the content becomes a 2-column grid (lg:grid lg:grid-cols-2 lg:items-end).</w:t>
      </w:r>
    </w:p>
    <w:p>
      <w:pPr>
        <w:pStyle w:val="Heading3"/>
        <w:spacing w:after="100" w:before="220"/>
      </w:pPr>
      <w:r>
        <w:rPr>
          <w:b/>
          <w:bCs/>
          <w:color w:val="2E6F40"/>
          <w:sz w:val="22"/>
          <w:szCs w:val="22"/>
        </w:rPr>
        <w:t xml:space="preserve">3.4 Left Column — Headline, Subheading, CTAs</w:t>
      </w:r>
    </w:p>
    <w:p>
      <w:pPr>
        <w:spacing w:after="100"/>
      </w:pPr>
      <w:r>
        <w:rPr>
          <w:b/>
          <w:bCs/>
          <w:color w:val="1F3864"/>
          <w:sz w:val="21"/>
          <w:szCs w:val="21"/>
        </w:rPr>
        <w:t xml:space="preserve">Headline text: </w:t>
      </w:r>
      <w:r>
        <w:rPr>
          <w:sz w:val="21"/>
          <w:szCs w:val="21"/>
        </w:rPr>
        <w:t xml:space="preserve">"Shaping tomorrow" / "with vision and action." — a literal line break between the two lines</w:t>
      </w:r>
    </w:p>
    <w:p>
      <w:pPr>
        <w:spacing w:after="100"/>
      </w:pPr>
      <w:r>
        <w:rPr>
          <w:b/>
          <w:bCs/>
          <w:color w:val="1F3864"/>
          <w:sz w:val="21"/>
          <w:szCs w:val="21"/>
        </w:rPr>
        <w:t xml:space="preserve">Headline sizing: </w:t>
      </w:r>
      <w:r>
        <w:rPr>
          <w:sz w:val="21"/>
          <w:szCs w:val="21"/>
        </w:rPr>
        <w:t xml:space="preserve">text-4xl → md:text-5xl → lg:text-6xl → xl:text-7xl, font-normal, mb-4, with inline letter-spacing of -0.04em</w:t>
      </w:r>
    </w:p>
    <w:p>
      <w:pPr>
        <w:spacing w:after="100"/>
      </w:pPr>
      <w:r>
        <w:rPr>
          <w:b/>
          <w:bCs/>
          <w:color w:val="1F3864"/>
          <w:sz w:val="21"/>
          <w:szCs w:val="21"/>
        </w:rPr>
        <w:t xml:space="preserve">Headline animation: </w:t>
      </w:r>
      <w:r>
        <w:rPr>
          <w:sz w:val="21"/>
          <w:szCs w:val="21"/>
        </w:rPr>
        <w:t xml:space="preserve">Character-by-character entrance: each character starts at opacity 0 / translateX(-18px) and animates to opacity 1 / translateX(0) over a 500ms transition. Per-character delay = (lineIndex × lineLength × 30ms) + (charIndex × 30ms), with animation start gated by an initial 200ms delay. Spaces render as non-breaking spaces (\u00A0).</w:t>
      </w:r>
    </w:p>
    <w:p>
      <w:pPr>
        <w:spacing w:after="100"/>
      </w:pPr>
      <w:r>
        <w:rPr>
          <w:b/>
          <w:bCs/>
          <w:color w:val="1F3864"/>
          <w:sz w:val="21"/>
          <w:szCs w:val="21"/>
        </w:rPr>
        <w:t xml:space="preserve">Subheading text: </w:t>
      </w:r>
      <w:r>
        <w:rPr>
          <w:sz w:val="21"/>
          <w:szCs w:val="21"/>
        </w:rPr>
        <w:t xml:space="preserve">"We back visionaries and craft ventures that define what comes next."</w:t>
      </w:r>
    </w:p>
    <w:p>
      <w:pPr>
        <w:spacing w:after="100"/>
      </w:pPr>
      <w:r>
        <w:rPr>
          <w:b/>
          <w:bCs/>
          <w:color w:val="1F3864"/>
          <w:sz w:val="21"/>
          <w:szCs w:val="21"/>
        </w:rPr>
        <w:t xml:space="preserve">Subheading style: </w:t>
      </w:r>
      <w:r>
        <w:rPr>
          <w:sz w:val="21"/>
          <w:szCs w:val="21"/>
        </w:rPr>
        <w:t xml:space="preserve">text-base (md:text-lg), text-gray-300, mb-5; fades in starting at 800ms over a 1000ms duration</w:t>
      </w:r>
    </w:p>
    <w:p>
      <w:pPr>
        <w:spacing w:after="100"/>
      </w:pPr>
      <w:r>
        <w:rPr>
          <w:b/>
          <w:bCs/>
          <w:color w:val="1F3864"/>
          <w:sz w:val="21"/>
          <w:szCs w:val="21"/>
        </w:rPr>
        <w:t xml:space="preserve">Primary CTA: </w:t>
      </w:r>
      <w:r>
        <w:rPr>
          <w:sz w:val="21"/>
          <w:szCs w:val="21"/>
        </w:rPr>
        <w:t xml:space="preserve">"Start a Chat" — white background, black text, px-8 py-3, rounded-lg, font-medium</w:t>
      </w:r>
    </w:p>
    <w:p>
      <w:pPr>
        <w:spacing w:after="100"/>
      </w:pPr>
      <w:r>
        <w:rPr>
          <w:b/>
          <w:bCs/>
          <w:color w:val="1F3864"/>
          <w:sz w:val="21"/>
          <w:szCs w:val="21"/>
        </w:rPr>
        <w:t xml:space="preserve">Secondary CTA: </w:t>
      </w:r>
      <w:r>
        <w:rPr>
          <w:sz w:val="21"/>
          <w:szCs w:val="21"/>
        </w:rPr>
        <w:t xml:space="preserve">"Explore Now" — .liquid-glass surface with a white/20 border, white text, px-8 py-3, rounded-lg, font-medium; hover state fills white with black text</w:t>
      </w:r>
    </w:p>
    <w:p>
      <w:pPr>
        <w:spacing w:after="100"/>
      </w:pPr>
      <w:r>
        <w:rPr>
          <w:b/>
          <w:bCs/>
          <w:color w:val="1F3864"/>
          <w:sz w:val="21"/>
          <w:szCs w:val="21"/>
        </w:rPr>
        <w:t xml:space="preserve">CTA row layout &amp; animation: </w:t>
      </w:r>
      <w:r>
        <w:rPr>
          <w:sz w:val="21"/>
          <w:szCs w:val="21"/>
        </w:rPr>
        <w:t xml:space="preserve">flex-wrap with gap-4; fades in starting at 1200ms over a 1000ms duration</w:t>
      </w:r>
    </w:p>
    <w:p>
      <w:pPr>
        <w:pStyle w:val="Heading3"/>
        <w:spacing w:after="100" w:before="220"/>
      </w:pPr>
      <w:r>
        <w:rPr>
          <w:b/>
          <w:bCs/>
          <w:color w:val="2E6F40"/>
          <w:sz w:val="22"/>
          <w:szCs w:val="22"/>
        </w:rPr>
        <w:t xml:space="preserve">3.5 Right Column — Tag Card</w:t>
      </w:r>
    </w:p>
    <w:p>
      <w:pPr>
        <w:spacing w:after="100"/>
      </w:pPr>
      <w:r>
        <w:rPr>
          <w:b/>
          <w:bCs/>
          <w:color w:val="1F3864"/>
          <w:sz w:val="21"/>
          <w:szCs w:val="21"/>
        </w:rPr>
        <w:t xml:space="preserve">Alignment: </w:t>
      </w:r>
      <w:r>
        <w:rPr>
          <w:sz w:val="21"/>
          <w:szCs w:val="21"/>
        </w:rPr>
        <w:t xml:space="preserve">Bottom-right on large screens (flex items-end justify-start, lg:justify-end)</w:t>
      </w:r>
    </w:p>
    <w:p>
      <w:pPr>
        <w:spacing w:after="100"/>
      </w:pPr>
      <w:r>
        <w:rPr>
          <w:b/>
          <w:bCs/>
          <w:color w:val="1F3864"/>
          <w:sz w:val="21"/>
          <w:szCs w:val="21"/>
        </w:rPr>
        <w:t xml:space="preserve">Surface: </w:t>
      </w:r>
      <w:r>
        <w:rPr>
          <w:sz w:val="21"/>
          <w:szCs w:val="21"/>
        </w:rPr>
        <w:t xml:space="preserve">.liquid-glass card with a white/20 border, px-6 py-3, rounded-xl</w:t>
      </w:r>
    </w:p>
    <w:p>
      <w:pPr>
        <w:spacing w:after="100"/>
      </w:pPr>
      <w:r>
        <w:rPr>
          <w:b/>
          <w:bCs/>
          <w:color w:val="1F3864"/>
          <w:sz w:val="21"/>
          <w:szCs w:val="21"/>
        </w:rPr>
        <w:t xml:space="preserve">Text: </w:t>
      </w:r>
      <w:r>
        <w:rPr>
          <w:sz w:val="21"/>
          <w:szCs w:val="21"/>
        </w:rPr>
        <w:t xml:space="preserve">"Investing. Building. Advisory." at text-lg (md:text-xl, lg:text-2xl), font-light</w:t>
      </w:r>
    </w:p>
    <w:p>
      <w:pPr>
        <w:spacing w:after="100"/>
      </w:pPr>
      <w:r>
        <w:rPr>
          <w:b/>
          <w:bCs/>
          <w:color w:val="1F3864"/>
          <w:sz w:val="21"/>
          <w:szCs w:val="21"/>
        </w:rPr>
        <w:t xml:space="preserve">Animation: </w:t>
      </w:r>
      <w:r>
        <w:rPr>
          <w:sz w:val="21"/>
          <w:szCs w:val="21"/>
        </w:rPr>
        <w:t xml:space="preserve">Fades in starting at 1400ms over a 1000ms duration</w:t>
      </w:r>
    </w:p>
    <w:p>
      <w:pPr>
        <w:pStyle w:val="Heading3"/>
        <w:spacing w:after="100" w:before="220"/>
      </w:pPr>
      <w:r>
        <w:rPr>
          <w:b/>
          <w:bCs/>
          <w:color w:val="2E6F40"/>
          <w:sz w:val="22"/>
          <w:szCs w:val="22"/>
        </w:rPr>
        <w:t xml:space="preserve">3.6 Liquid Glass Surface (Reusable Component)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262626"/>
          <w:sz w:val="21"/>
          <w:szCs w:val="21"/>
        </w:rPr>
        <w:t xml:space="preserve">A shared .liquid-glass CSS class is used for the navbar, secondary CTA, and tag card: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1"/>
          <w:szCs w:val="21"/>
        </w:rPr>
        <w:t xml:space="preserve">Background: rgba(0, 0, 0, 0.4) with background-blend-mode: luminosity.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1"/>
          <w:szCs w:val="21"/>
        </w:rPr>
        <w:t xml:space="preserve">backdrop-filter / -webkit-backdrop-filter: blur(4px).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1"/>
          <w:szCs w:val="21"/>
        </w:rPr>
        <w:t xml:space="preserve">No border; box-shadow: inset 0 1px 1px rgba(255,255,255,0.1) for a subtle inner highlight.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1"/>
          <w:szCs w:val="21"/>
        </w:rPr>
        <w:t xml:space="preserve">A pseudo-element (::before) renders a 1.4px gradient "edge" border (white fading in and out top-to-bottom) masked to show only the border ring, using mask-composite: exclude.</w:t>
      </w:r>
    </w:p>
    <w:p>
      <w:pPr>
        <w:pStyle w:val="Heading3"/>
        <w:spacing w:after="100" w:before="220"/>
      </w:pPr>
      <w:r>
        <w:rPr>
          <w:b/>
          <w:bCs/>
          <w:color w:val="2E6F40"/>
          <w:sz w:val="22"/>
          <w:szCs w:val="22"/>
        </w:rPr>
        <w:t xml:space="preserve">3.7 Supporting Components</w:t>
      </w:r>
    </w:p>
    <w:p>
      <w:pPr>
        <w:spacing w:after="100"/>
      </w:pPr>
      <w:r>
        <w:rPr>
          <w:b/>
          <w:bCs/>
          <w:color w:val="1F3864"/>
          <w:sz w:val="21"/>
          <w:szCs w:val="21"/>
        </w:rPr>
        <w:t xml:space="preserve">FadeIn component: </w:t>
      </w:r>
      <w:r>
        <w:rPr>
          <w:sz w:val="21"/>
          <w:szCs w:val="21"/>
        </w:rPr>
        <w:t xml:space="preserve">A wrapper that starts at opacity 0 and transitions to opacity 1 after a configurable delay (ms), implemented with a setTimeout-driven React state flag and a configurable transition duration via inline style + Tailwind’s transition-opacity class.</w:t>
      </w:r>
    </w:p>
    <w:p>
      <w:pPr>
        <w:spacing w:after="100"/>
      </w:pPr>
      <w:r>
        <w:rPr>
          <w:b/>
          <w:bCs/>
          <w:color w:val="1F3864"/>
          <w:sz w:val="21"/>
          <w:szCs w:val="21"/>
        </w:rPr>
        <w:t xml:space="preserve">AnimatedHeading component: </w:t>
      </w:r>
      <w:r>
        <w:rPr>
          <w:sz w:val="21"/>
          <w:szCs w:val="21"/>
        </w:rPr>
        <w:t xml:space="preserve">Splits heading text on \n into lines, then each line into individual characters; each character renders as an inline-block &lt;span&gt; with CSS transitions on opacity and transform (translateX), triggered by React state after the initial delay described in Section 3.4.</w:t>
      </w:r>
    </w:p>
    <w:p>
      <w:pPr>
        <w:pStyle w:val="Heading1"/>
        <w:pBdr>
          <w:bottom w:val="single" w:color="2E6F40" w:sz="8" w:space="4"/>
        </w:pBdr>
        <w:spacing w:after="200" w:before="360"/>
      </w:pPr>
      <w:r>
        <w:rPr>
          <w:b/>
          <w:bCs/>
          <w:color w:val="1F3864"/>
          <w:sz w:val="32"/>
          <w:szCs w:val="32"/>
        </w:rPr>
        <w:t xml:space="preserve">4. Citizen Dashboard — UX Flows</w:t>
      </w:r>
    </w:p>
    <w:p>
      <w:pPr>
        <w:pStyle w:val="Heading3"/>
        <w:spacing w:after="100" w:before="220"/>
      </w:pPr>
      <w:r>
        <w:rPr>
          <w:b/>
          <w:bCs/>
          <w:color w:val="2E6F40"/>
          <w:sz w:val="22"/>
          <w:szCs w:val="22"/>
        </w:rPr>
        <w:t xml:space="preserve">4.1 Onboarding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262626"/>
          <w:sz w:val="21"/>
          <w:szCs w:val="21"/>
        </w:rPr>
        <w:t xml:space="preserve">Login/Register → Location permission prompt → (granted) auto-detected area confirmation, or (denied) manual city/locality picker → Language preference selection → Dashboard home.</w:t>
      </w:r>
    </w:p>
    <w:p>
      <w:pPr>
        <w:pStyle w:val="Heading3"/>
        <w:spacing w:after="100" w:before="220"/>
      </w:pPr>
      <w:r>
        <w:rPr>
          <w:b/>
          <w:bCs/>
          <w:color w:val="2E6F40"/>
          <w:sz w:val="22"/>
          <w:szCs w:val="22"/>
        </w:rPr>
        <w:t xml:space="preserve">4.2 Submit a Complaint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262626"/>
          <w:sz w:val="21"/>
          <w:szCs w:val="21"/>
        </w:rPr>
        <w:t xml:space="preserve">Dashboard home → "Report a Problem" primary action → choose input mode (voice / photo / text, combinable) → confirm/adjust map pin location → AI preview shows suggested category + department (editable before submit) → duplicate-check prompt if applicable → submit → confirmation screen with tracking ID.</w:t>
      </w:r>
    </w:p>
    <w:p>
      <w:pPr>
        <w:pStyle w:val="Heading3"/>
        <w:spacing w:after="100" w:before="220"/>
      </w:pPr>
      <w:r>
        <w:rPr>
          <w:b/>
          <w:bCs/>
          <w:color w:val="2E6F40"/>
          <w:sz w:val="22"/>
          <w:szCs w:val="22"/>
        </w:rPr>
        <w:t xml:space="preserve">4.3 Track Complaints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262626"/>
          <w:sz w:val="21"/>
          <w:szCs w:val="21"/>
        </w:rPr>
        <w:t xml:space="preserve">"My Complaints" list, grouped by status (Pending / In Progress / Resolved), each card showing category icon, short description, location, submitted date, and current status badge → tap for full timeline detail view with department response, estimated resolution date, and (once resolved) proof photo/notes.</w:t>
      </w:r>
    </w:p>
    <w:p>
      <w:pPr>
        <w:pStyle w:val="Heading3"/>
        <w:spacing w:after="100" w:before="220"/>
      </w:pPr>
      <w:r>
        <w:rPr>
          <w:b/>
          <w:bCs/>
          <w:color w:val="2E6F40"/>
          <w:sz w:val="22"/>
          <w:szCs w:val="22"/>
        </w:rPr>
        <w:t xml:space="preserve">4.4 Visual/Interaction Notes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1"/>
          <w:szCs w:val="21"/>
        </w:rPr>
        <w:t xml:space="preserve">Status badges use consistent color coding across the entire product: Submitted (grey), Accepted (blue), In Progress (amber), Resolved (green), Rejected (red).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1"/>
          <w:szCs w:val="21"/>
        </w:rPr>
        <w:t xml:space="preserve">Voice input uses a large, single-tap microphone affordance with visible waveform/recording feedback for low-literacy accessibility.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1"/>
          <w:szCs w:val="21"/>
        </w:rPr>
        <w:t xml:space="preserve">Map pin adjustment must be usable with one thumb on mobile.</w:t>
      </w:r>
    </w:p>
    <w:p>
      <w:pPr>
        <w:pStyle w:val="Heading1"/>
        <w:pBdr>
          <w:bottom w:val="single" w:color="2E6F40" w:sz="8" w:space="4"/>
        </w:pBdr>
        <w:spacing w:after="200" w:before="360"/>
      </w:pPr>
      <w:r>
        <w:rPr>
          <w:b/>
          <w:bCs/>
          <w:color w:val="1F3864"/>
          <w:sz w:val="32"/>
          <w:szCs w:val="32"/>
        </w:rPr>
        <w:t xml:space="preserve">5. Government Dashboard — UX Flows</w:t>
      </w:r>
    </w:p>
    <w:p>
      <w:pPr>
        <w:pStyle w:val="Heading3"/>
        <w:spacing w:after="100" w:before="220"/>
      </w:pPr>
      <w:r>
        <w:rPr>
          <w:b/>
          <w:bCs/>
          <w:color w:val="2E6F40"/>
          <w:sz w:val="22"/>
          <w:szCs w:val="22"/>
        </w:rPr>
        <w:t xml:space="preserve">5.1 Officer Queue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262626"/>
          <w:sz w:val="21"/>
          <w:szCs w:val="21"/>
        </w:rPr>
        <w:t xml:space="preserve">Login → Department-scoped queue, default sorted by AI priority score (critical items pinned to top with a distinct red/amber marker) → filter/search by category, location, or SLA aging → open a complaint to view AI Copilot suggestion (category, department, priority, rationale), citizen-submitted media, and map location.</w:t>
      </w:r>
    </w:p>
    <w:p>
      <w:pPr>
        <w:pStyle w:val="Heading3"/>
        <w:spacing w:after="100" w:before="220"/>
      </w:pPr>
      <w:r>
        <w:rPr>
          <w:b/>
          <w:bCs/>
          <w:color w:val="2E6F40"/>
          <w:sz w:val="22"/>
          <w:szCs w:val="22"/>
        </w:rPr>
        <w:t xml:space="preserve">5.2 Complaint Action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262626"/>
          <w:sz w:val="21"/>
          <w:szCs w:val="21"/>
        </w:rPr>
        <w:t xml:space="preserve">Accept (set/confirm estimated resolution time) or Reject (required reason) or Reassign (different department/sub-branch) → on accept, complaint moves to "In Progress" queue → officer can update status and attach resolution photo/notes → mark Resolved.</w:t>
      </w:r>
    </w:p>
    <w:p>
      <w:pPr>
        <w:pStyle w:val="Heading3"/>
        <w:spacing w:after="100" w:before="220"/>
      </w:pPr>
      <w:r>
        <w:rPr>
          <w:b/>
          <w:bCs/>
          <w:color w:val="2E6F40"/>
          <w:sz w:val="22"/>
          <w:szCs w:val="22"/>
        </w:rPr>
        <w:t xml:space="preserve">5.3 Administrator Analytics View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262626"/>
          <w:sz w:val="21"/>
          <w:szCs w:val="21"/>
        </w:rPr>
        <w:t xml:space="preserve">Top-level KPI tiles (Critical Complaints, Pending Complaints, SLA Violations, Avg. Resolution Time) → below, tabbed or side-by-side charts for Complaints by Category, Complaints by Location (map heatmap), Department Workload, and Resolution Time trend → date-range filter applies globally across the view.</w:t>
      </w:r>
    </w:p>
    <w:p>
      <w:pPr>
        <w:pStyle w:val="Heading3"/>
        <w:spacing w:after="100" w:before="220"/>
      </w:pPr>
      <w:r>
        <w:rPr>
          <w:b/>
          <w:bCs/>
          <w:color w:val="2E6F40"/>
          <w:sz w:val="22"/>
          <w:szCs w:val="22"/>
        </w:rPr>
        <w:t xml:space="preserve">5.4 Visual Language for Dashboards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1"/>
          <w:szCs w:val="21"/>
        </w:rPr>
        <w:t xml:space="preserve">Data-dense, high-contrast, light-mode surface distinct from the dark public marketing hero — optimized for scanning tables and charts over long shifts.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1"/>
          <w:szCs w:val="21"/>
        </w:rPr>
        <w:t xml:space="preserve">Priority and SLA-risk indicators use the same status color coding as the citizen dashboard for cross-role consistency.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1"/>
          <w:szCs w:val="21"/>
        </w:rPr>
        <w:t xml:space="preserve">Map views reuse Leaflet + OpenStreetMap tiles from the citizen-side location picker for visual and technical consistency.</w:t>
      </w:r>
    </w:p>
    <w:p>
      <w:pPr>
        <w:pStyle w:val="Heading1"/>
        <w:pBdr>
          <w:bottom w:val="single" w:color="2E6F40" w:sz="8" w:space="4"/>
        </w:pBdr>
        <w:spacing w:after="200" w:before="360"/>
      </w:pPr>
      <w:r>
        <w:rPr>
          <w:b/>
          <w:bCs/>
          <w:color w:val="1F3864"/>
          <w:sz w:val="32"/>
          <w:szCs w:val="32"/>
        </w:rPr>
        <w:t xml:space="preserve">6. Accessibility &amp; Multilingual UI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1"/>
          <w:szCs w:val="21"/>
        </w:rPr>
        <w:t xml:space="preserve">All interactive elements meet minimum touch-target sizing for mobile use in the field.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1"/>
          <w:szCs w:val="21"/>
        </w:rPr>
        <w:t xml:space="preserve">Text and UI labels support Hindi and English at minimum, with layout tested for text-length variance between scripts.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1"/>
          <w:szCs w:val="21"/>
        </w:rPr>
        <w:t xml:space="preserve">Voice-first submission path is a first-class flow, not a fallback, to support low-literacy citizens.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1"/>
          <w:szCs w:val="21"/>
        </w:rPr>
        <w:t xml:space="preserve">Color is never the sole indicator of status — icons/labels accompany every status color.</w:t>
      </w:r>
    </w:p>
    <w:sectPr>
      <w:headerReference w:type="default" r:id="rId7"/>
      <w:footerReference w:type="default" r:id="rId8"/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color w:val="595959"/>
        <w:sz w:val="16"/>
        <w:szCs w:val="16"/>
      </w:rPr>
      <w:t xml:space="preserve">CivicLens PRD — Smart Indore AI Grievance Portal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0" w:hanging="270"/>
      </w:pPr>
    </w:lvl>
    <w:lvl w:ilvl="1" w15:tentative="1">
      <w:start w:val="1"/>
      <w:numFmt w:val="bullet"/>
      <w:lvlText w:val="◦"/>
      <w:lvlJc w:val="left"/>
      <w:pPr>
        <w:ind w:left="90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2026-08-22T06:42:50.486Z</dcterms:created>
  <dcterms:modified xsi:type="dcterms:W3CDTF">2026-08-22T06:42:50.486Z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