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639" w:type="dxa"/>
        <w:jc w:val="left"/>
        <w:tblInd w:w="0" w:type="dxa"/>
        <w:tblLayout w:type="fixed"/>
        <w:tblCellMar>
          <w:top w:w="0" w:type="dxa"/>
          <w:left w:w="10" w:type="dxa"/>
          <w:bottom w:w="0" w:type="dxa"/>
          <w:right w:w="10" w:type="dxa"/>
        </w:tblCellMar>
        <w:tblLook w:val="0000" w:noHBand="0" w:noVBand="0" w:firstColumn="0" w:lastRow="0" w:lastColumn="0" w:firstRow="0"/>
      </w:tblPr>
      <w:tblGrid>
        <w:gridCol w:w="4832"/>
        <w:gridCol w:w="4806"/>
      </w:tblGrid>
      <w:tr>
        <w:trPr/>
        <w:tc>
          <w:tcPr>
            <w:tcW w:w="4832" w:type="dxa"/>
            <w:tcBorders/>
          </w:tcPr>
          <w:p>
            <w:pPr>
              <w:pStyle w:val="Normal"/>
              <w:widowControl w:val="false"/>
              <w:rPr/>
            </w:pPr>
            <w:r>
              <w:rPr/>
              <w:drawing>
                <wp:inline distT="0" distB="0" distL="0" distR="0">
                  <wp:extent cx="2476500" cy="57150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2476500" cy="571500"/>
                          </a:xfrm>
                          <a:prstGeom prst="rect">
                            <a:avLst/>
                          </a:prstGeom>
                        </pic:spPr>
                      </pic:pic>
                    </a:graphicData>
                  </a:graphic>
                </wp:inline>
              </w:drawing>
            </w:r>
          </w:p>
          <w:p>
            <w:pPr>
              <w:pStyle w:val="Normal"/>
              <w:widowControl w:val="false"/>
              <w:rPr>
                <w:b/>
                <w:b/>
                <w:bCs/>
                <w:sz w:val="28"/>
                <w:szCs w:val="28"/>
                <w:lang w:val="en-US"/>
              </w:rPr>
            </w:pPr>
            <w:r>
              <w:rPr>
                <w:b/>
                <w:bCs/>
                <w:sz w:val="28"/>
                <w:szCs w:val="28"/>
              </w:rPr>
              <w:br/>
            </w:r>
            <w:r>
              <w:rPr>
                <w:b/>
                <w:bCs/>
                <w:sz w:val="28"/>
                <w:szCs w:val="28"/>
                <w:lang w:val="en-US"/>
              </w:rPr>
              <w:t>{$</w:t>
            </w:r>
            <w:r>
              <w:rPr>
                <w:b/>
                <w:bCs/>
                <w:sz w:val="28"/>
                <w:szCs w:val="28"/>
                <w:lang w:val="en-US"/>
              </w:rPr>
              <w:t>bank_mfo</w:t>
            </w:r>
            <w:r>
              <w:rPr>
                <w:b/>
                <w:bCs/>
                <w:sz w:val="28"/>
                <w:szCs w:val="28"/>
                <w:lang w:val="en-US"/>
              </w:rPr>
              <w:t>}</w:t>
            </w:r>
          </w:p>
          <w:p>
            <w:pPr>
              <w:pStyle w:val="Normal"/>
              <w:widowControl w:val="false"/>
              <w:rPr/>
            </w:pPr>
            <w:r>
              <w:rPr/>
            </w:r>
          </w:p>
          <w:p>
            <w:pPr>
              <w:pStyle w:val="Normal"/>
              <w:widowControl w:val="false"/>
              <w:rPr>
                <w:b/>
                <w:b/>
                <w:lang w:val="en-US"/>
              </w:rPr>
            </w:pPr>
            <w:r>
              <w:rPr>
                <w:b/>
                <w:sz w:val="28"/>
                <w:lang w:val="en-US"/>
              </w:rPr>
              <w:t>{$cur_date}</w:t>
            </w:r>
          </w:p>
        </w:tc>
        <w:tc>
          <w:tcPr>
            <w:tcW w:w="4806" w:type="dxa"/>
            <w:tcBorders>
              <w:top w:val="dashed" w:sz="6" w:space="0" w:color="000000"/>
              <w:left w:val="dashed" w:sz="6" w:space="0" w:color="000000"/>
              <w:bottom w:val="dashed" w:sz="6" w:space="0" w:color="000000"/>
              <w:right w:val="dashed" w:sz="6" w:space="0" w:color="000000"/>
            </w:tcBorders>
          </w:tcPr>
          <w:p>
            <w:pPr>
              <w:pStyle w:val="Normal"/>
              <w:widowControl w:val="false"/>
              <w:rPr>
                <w:sz w:val="4"/>
                <w:lang w:val="en-US"/>
              </w:rPr>
            </w:pPr>
            <w:r>
              <w:rPr>
                <w:sz w:val="4"/>
                <w:lang w:val="en-US"/>
              </w:rPr>
            </w:r>
          </w:p>
          <w:p>
            <w:pPr>
              <w:pStyle w:val="Normal"/>
              <w:widowControl w:val="false"/>
              <w:rPr>
                <w:bCs/>
                <w:lang w:val="en-US"/>
              </w:rPr>
            </w:pPr>
            <w:r>
              <w:rPr>
                <w:bCs/>
                <w:lang w:val="en-US"/>
              </w:rPr>
              <w:t>{$generate_barcode}</w:t>
            </w:r>
          </w:p>
          <w:p>
            <w:pPr>
              <w:pStyle w:val="Normal"/>
              <w:widowControl w:val="false"/>
              <w:rPr>
                <w:lang w:val="en-US"/>
              </w:rPr>
            </w:pPr>
            <w:r>
              <w:rPr>
                <w:b/>
                <w:bCs/>
              </w:rPr>
              <w:t>Жўнатувчи</w:t>
            </w:r>
            <w:r>
              <w:rPr>
                <w:b/>
                <w:bCs/>
                <w:lang w:val="en-US"/>
              </w:rPr>
              <w:t xml:space="preserve">: </w:t>
            </w:r>
            <w:r>
              <w:rPr>
                <w:lang w:val="en-US"/>
              </w:rPr>
              <w:t>{$</w:t>
            </w:r>
            <w:r>
              <w:rPr>
                <w:lang w:val="en-US"/>
              </w:rPr>
              <w:t>bank_mfo</w:t>
            </w:r>
            <w:r>
              <w:rPr>
                <w:lang w:val="en-US"/>
              </w:rPr>
              <w:t>}</w:t>
            </w:r>
          </w:p>
          <w:p>
            <w:pPr>
              <w:pStyle w:val="Normal"/>
              <w:widowControl w:val="false"/>
              <w:rPr>
                <w:lang w:val="en-US"/>
              </w:rPr>
            </w:pPr>
            <w:r>
              <w:rPr>
                <w:b/>
                <w:bCs/>
              </w:rPr>
              <w:t>Тел</w:t>
            </w:r>
            <w:r>
              <w:rPr>
                <w:b/>
                <w:bCs/>
                <w:lang w:val="en-US"/>
              </w:rPr>
              <w:t xml:space="preserve">: </w:t>
            </w:r>
            <w:r>
              <w:rPr>
                <w:bCs/>
                <w:lang w:val="en-US"/>
              </w:rPr>
              <w:t>{$branch_phone}</w:t>
            </w:r>
          </w:p>
          <w:p>
            <w:pPr>
              <w:pStyle w:val="Normal"/>
              <w:widowControl w:val="false"/>
              <w:rPr>
                <w:bCs/>
                <w:lang w:val="en-US"/>
              </w:rPr>
            </w:pPr>
            <w:r>
              <w:rPr>
                <w:b/>
                <w:bCs/>
              </w:rPr>
              <w:t>Манзил</w:t>
            </w:r>
            <w:r>
              <w:rPr>
                <w:b/>
                <w:bCs/>
                <w:lang w:val="en-US"/>
              </w:rPr>
              <w:t xml:space="preserve">: </w:t>
            </w:r>
            <w:r>
              <w:rPr>
                <w:bCs/>
                <w:lang w:val="en-US"/>
              </w:rPr>
              <w:t>{$branch_address}</w:t>
            </w:r>
          </w:p>
          <w:p>
            <w:pPr>
              <w:pStyle w:val="Normal"/>
              <w:widowControl w:val="false"/>
              <w:rPr>
                <w:bCs/>
                <w:lang w:val="en-US"/>
              </w:rPr>
            </w:pPr>
            <w:r>
              <w:rPr>
                <w:b/>
                <w:bCs/>
              </w:rPr>
              <w:t>Қабул</w:t>
            </w:r>
            <w:r>
              <w:rPr>
                <w:b/>
                <w:bCs/>
                <w:lang w:val="en-US"/>
              </w:rPr>
              <w:t xml:space="preserve"> </w:t>
            </w:r>
            <w:r>
              <w:rPr>
                <w:b/>
                <w:bCs/>
              </w:rPr>
              <w:t>килувчи</w:t>
            </w:r>
            <w:r>
              <w:rPr>
                <w:b/>
                <w:bCs/>
                <w:lang w:val="en-US"/>
              </w:rPr>
              <w:t xml:space="preserve">: </w:t>
            </w:r>
            <w:r>
              <w:rPr>
                <w:bCs/>
                <w:lang w:val="en-US"/>
              </w:rPr>
              <w:t>{$client_name}</w:t>
            </w:r>
          </w:p>
          <w:p>
            <w:pPr>
              <w:pStyle w:val="Normal"/>
              <w:widowControl w:val="false"/>
              <w:rPr>
                <w:bCs/>
                <w:lang w:val="en-US"/>
              </w:rPr>
            </w:pPr>
            <w:r>
              <w:rPr>
                <w:bCs/>
                <w:lang w:val="en-US"/>
              </w:rPr>
              <w:t>{$client_region} {$client_district} {$client_address}</w:t>
            </w:r>
          </w:p>
        </w:tc>
      </w:tr>
    </w:tbl>
    <w:p>
      <w:pPr>
        <w:pStyle w:val="Header"/>
        <w:rPr/>
      </w:pPr>
      <w:r>
        <w:rPr/>
        <w:t>Т А Л А Б Н О М А</w:t>
      </w:r>
    </w:p>
    <w:p>
      <w:pPr>
        <w:pStyle w:val="Paragraph"/>
        <w:rPr/>
      </w:pPr>
      <w:r>
        <w:rPr/>
        <w:t xml:space="preserve">   </w:t>
      </w:r>
      <w:r>
        <w:rPr/>
        <w:t>«Микрокредитбанк» АТБ {$</w:t>
      </w:r>
      <w:r>
        <w:rPr>
          <w:lang w:val="en-US"/>
        </w:rPr>
        <w:t>branch</w:t>
      </w:r>
      <w:r>
        <w:rPr/>
        <w:t>_</w:t>
      </w:r>
      <w:r>
        <w:rPr>
          <w:lang w:val="en-US"/>
        </w:rPr>
        <w:t>region</w:t>
      </w:r>
      <w:r>
        <w:rPr/>
        <w:t>} минтақавий филиали ўртасида кредит шартномаси имзоланган бўлиб, мазкур шартномага асосан Сизга кредит маблағи ажратилган. Ушбу кредит шартномасига мувофиқ ажр</w:t>
      </w:r>
      <w:bookmarkStart w:id="0" w:name="_GoBack"/>
      <w:bookmarkEnd w:id="0"/>
      <w:r>
        <w:rPr/>
        <w:t>атилган кредит суммасига хисобланган устама фоизлар ва кредит тани хар ойнинг белгиланган санасига қадар тўлаб бориши кўрсатиб ўтилган.</w:t>
      </w:r>
    </w:p>
    <w:p>
      <w:pPr>
        <w:pStyle w:val="Paragraph"/>
        <w:spacing w:before="0" w:after="100"/>
        <w:rPr/>
      </w:pPr>
      <w:r>
        <w:rPr/>
        <w:t xml:space="preserve">   </w:t>
      </w:r>
      <w:r>
        <w:rPr/>
        <w:t>Шунингдек, кредит шартномасининг ажралмас қисми ҳисобланган сўндириш графигига асосан, Сизда муддати ўтган қарздорлигингиз мавжуд.</w:t>
      </w:r>
    </w:p>
    <w:tbl>
      <w:tblPr>
        <w:tblW w:w="9067" w:type="dxa"/>
        <w:jc w:val="left"/>
        <w:tblInd w:w="0" w:type="dxa"/>
        <w:tblLayout w:type="fixed"/>
        <w:tblCellMar>
          <w:top w:w="0" w:type="dxa"/>
          <w:left w:w="10" w:type="dxa"/>
          <w:bottom w:w="0" w:type="dxa"/>
          <w:right w:w="10" w:type="dxa"/>
        </w:tblCellMar>
        <w:tblLook w:val="0000" w:noHBand="0" w:noVBand="0" w:firstColumn="0" w:lastRow="0" w:lastColumn="0" w:firstRow="0"/>
      </w:tblPr>
      <w:tblGrid>
        <w:gridCol w:w="2000"/>
        <w:gridCol w:w="99"/>
        <w:gridCol w:w="1500"/>
        <w:gridCol w:w="501"/>
        <w:gridCol w:w="2000"/>
        <w:gridCol w:w="100"/>
        <w:gridCol w:w="1866"/>
        <w:gridCol w:w="1000"/>
      </w:tblGrid>
      <w:tr>
        <w:trPr/>
        <w:tc>
          <w:tcPr>
            <w:tcW w:w="2000" w:type="dxa"/>
            <w:tcBorders/>
          </w:tcPr>
          <w:p>
            <w:pPr>
              <w:pStyle w:val="Normal"/>
              <w:widowControl w:val="false"/>
              <w:rPr/>
            </w:pPr>
            <w:r>
              <w:rPr/>
              <w:t>- Муддати ўтган асосий қарздорлик</w:t>
            </w:r>
          </w:p>
        </w:tc>
        <w:tc>
          <w:tcPr>
            <w:tcW w:w="99" w:type="dxa"/>
            <w:tcBorders/>
          </w:tcPr>
          <w:p>
            <w:pPr>
              <w:pStyle w:val="Normal"/>
              <w:widowControl w:val="false"/>
              <w:rPr/>
            </w:pPr>
            <w:r>
              <w:rPr/>
              <w:t>-</w:t>
            </w:r>
          </w:p>
        </w:tc>
        <w:tc>
          <w:tcPr>
            <w:tcW w:w="1500" w:type="dxa"/>
            <w:tcBorders/>
          </w:tcPr>
          <w:p>
            <w:pPr>
              <w:pStyle w:val="Normal"/>
              <w:widowControl w:val="false"/>
              <w:jc w:val="center"/>
              <w:rPr/>
            </w:pPr>
            <w:r>
              <w:rPr>
                <w:sz w:val="18"/>
                <w:szCs w:val="18"/>
                <w:lang w:val="en-US"/>
              </w:rPr>
              <w:t>{$overdue}</w:t>
            </w:r>
          </w:p>
        </w:tc>
        <w:tc>
          <w:tcPr>
            <w:tcW w:w="501" w:type="dxa"/>
            <w:tcBorders/>
          </w:tcPr>
          <w:p>
            <w:pPr>
              <w:pStyle w:val="Normal"/>
              <w:widowControl w:val="false"/>
              <w:rPr/>
            </w:pPr>
            <w:r>
              <w:rPr/>
              <w:t>сўм</w:t>
            </w:r>
          </w:p>
        </w:tc>
        <w:tc>
          <w:tcPr>
            <w:tcW w:w="2000" w:type="dxa"/>
            <w:tcBorders/>
          </w:tcPr>
          <w:p>
            <w:pPr>
              <w:pStyle w:val="Normal"/>
              <w:widowControl w:val="false"/>
              <w:rPr/>
            </w:pPr>
            <w:r>
              <w:rPr/>
              <w:t>- Муддати ўтганига</w:t>
            </w:r>
          </w:p>
        </w:tc>
        <w:tc>
          <w:tcPr>
            <w:tcW w:w="100" w:type="dxa"/>
            <w:tcBorders/>
          </w:tcPr>
          <w:p>
            <w:pPr>
              <w:pStyle w:val="Normal"/>
              <w:widowControl w:val="false"/>
              <w:rPr/>
            </w:pPr>
            <w:r>
              <w:rPr/>
              <w:t>-</w:t>
            </w:r>
          </w:p>
        </w:tc>
        <w:tc>
          <w:tcPr>
            <w:tcW w:w="1866" w:type="dxa"/>
            <w:tcBorders/>
          </w:tcPr>
          <w:p>
            <w:pPr>
              <w:pStyle w:val="Normal"/>
              <w:widowControl w:val="false"/>
              <w:jc w:val="center"/>
              <w:rPr/>
            </w:pPr>
            <w:r>
              <w:rPr/>
              <w:t>{</w:t>
            </w:r>
            <w:r>
              <w:rPr>
                <w:lang w:val="en-US"/>
              </w:rPr>
              <w:t>$overdue_days}</w:t>
            </w:r>
          </w:p>
        </w:tc>
        <w:tc>
          <w:tcPr>
            <w:tcW w:w="1000" w:type="dxa"/>
            <w:tcBorders/>
          </w:tcPr>
          <w:p>
            <w:pPr>
              <w:pStyle w:val="Normal"/>
              <w:widowControl w:val="false"/>
              <w:rPr/>
            </w:pPr>
            <w:r>
              <w:rPr/>
              <w:t>кун бўлган</w:t>
            </w:r>
          </w:p>
        </w:tc>
      </w:tr>
      <w:tr>
        <w:trPr/>
        <w:tc>
          <w:tcPr>
            <w:tcW w:w="2000" w:type="dxa"/>
            <w:tcBorders/>
          </w:tcPr>
          <w:p>
            <w:pPr>
              <w:pStyle w:val="Normal"/>
              <w:widowControl w:val="false"/>
              <w:rPr/>
            </w:pPr>
            <w:r>
              <w:rPr/>
              <w:t>- Муддати ўтган фоиз қарздорлик</w:t>
            </w:r>
          </w:p>
        </w:tc>
        <w:tc>
          <w:tcPr>
            <w:tcW w:w="99" w:type="dxa"/>
            <w:tcBorders/>
          </w:tcPr>
          <w:p>
            <w:pPr>
              <w:pStyle w:val="Normal"/>
              <w:widowControl w:val="false"/>
              <w:rPr/>
            </w:pPr>
            <w:r>
              <w:rPr/>
              <w:t>-</w:t>
            </w:r>
          </w:p>
        </w:tc>
        <w:tc>
          <w:tcPr>
            <w:tcW w:w="1500" w:type="dxa"/>
            <w:tcBorders/>
          </w:tcPr>
          <w:p>
            <w:pPr>
              <w:pStyle w:val="Normal"/>
              <w:widowControl w:val="false"/>
              <w:jc w:val="center"/>
              <w:rPr/>
            </w:pPr>
            <w:r>
              <w:rPr>
                <w:sz w:val="18"/>
                <w:szCs w:val="18"/>
                <w:lang w:val="en-US"/>
              </w:rPr>
              <w:t>{$overdue_perc}</w:t>
            </w:r>
          </w:p>
        </w:tc>
        <w:tc>
          <w:tcPr>
            <w:tcW w:w="501" w:type="dxa"/>
            <w:tcBorders/>
          </w:tcPr>
          <w:p>
            <w:pPr>
              <w:pStyle w:val="Normal"/>
              <w:widowControl w:val="false"/>
              <w:rPr/>
            </w:pPr>
            <w:r>
              <w:rPr/>
              <w:t>сўм</w:t>
            </w:r>
          </w:p>
        </w:tc>
        <w:tc>
          <w:tcPr>
            <w:tcW w:w="2000" w:type="dxa"/>
            <w:tcBorders/>
          </w:tcPr>
          <w:p>
            <w:pPr>
              <w:pStyle w:val="Normal"/>
              <w:widowControl w:val="false"/>
              <w:rPr/>
            </w:pPr>
            <w:r>
              <w:rPr/>
              <w:t>- Муддати ўтганига</w:t>
            </w:r>
          </w:p>
        </w:tc>
        <w:tc>
          <w:tcPr>
            <w:tcW w:w="100" w:type="dxa"/>
            <w:tcBorders/>
          </w:tcPr>
          <w:p>
            <w:pPr>
              <w:pStyle w:val="Normal"/>
              <w:widowControl w:val="false"/>
              <w:rPr/>
            </w:pPr>
            <w:r>
              <w:rPr/>
              <w:t>-</w:t>
            </w:r>
          </w:p>
        </w:tc>
        <w:tc>
          <w:tcPr>
            <w:tcW w:w="1866" w:type="dxa"/>
            <w:tcBorders/>
          </w:tcPr>
          <w:p>
            <w:pPr>
              <w:pStyle w:val="Normal"/>
              <w:widowControl w:val="false"/>
              <w:jc w:val="center"/>
              <w:rPr/>
            </w:pPr>
            <w:r>
              <w:rPr>
                <w:lang w:val="en-US"/>
              </w:rPr>
              <w:t>{$overdue_perc_days}</w:t>
            </w:r>
          </w:p>
        </w:tc>
        <w:tc>
          <w:tcPr>
            <w:tcW w:w="1000" w:type="dxa"/>
            <w:tcBorders/>
          </w:tcPr>
          <w:p>
            <w:pPr>
              <w:pStyle w:val="Normal"/>
              <w:widowControl w:val="false"/>
              <w:rPr/>
            </w:pPr>
            <w:r>
              <w:rPr/>
              <w:t>кун бўлган</w:t>
            </w:r>
          </w:p>
        </w:tc>
      </w:tr>
      <w:tr>
        <w:trPr/>
        <w:tc>
          <w:tcPr>
            <w:tcW w:w="2000" w:type="dxa"/>
            <w:tcBorders/>
          </w:tcPr>
          <w:p>
            <w:pPr>
              <w:pStyle w:val="Normal"/>
              <w:widowControl w:val="false"/>
              <w:rPr/>
            </w:pPr>
            <w:r>
              <w:rPr/>
              <w:t>- ЖАМИ муддати ўтган қарздорлик</w:t>
            </w:r>
          </w:p>
        </w:tc>
        <w:tc>
          <w:tcPr>
            <w:tcW w:w="99" w:type="dxa"/>
            <w:tcBorders/>
          </w:tcPr>
          <w:p>
            <w:pPr>
              <w:pStyle w:val="Normal"/>
              <w:widowControl w:val="false"/>
              <w:rPr/>
            </w:pPr>
            <w:r>
              <w:rPr/>
              <w:t>-</w:t>
            </w:r>
          </w:p>
        </w:tc>
        <w:tc>
          <w:tcPr>
            <w:tcW w:w="1500" w:type="dxa"/>
            <w:tcBorders/>
          </w:tcPr>
          <w:p>
            <w:pPr>
              <w:pStyle w:val="Normal"/>
              <w:widowControl w:val="false"/>
              <w:jc w:val="center"/>
              <w:rPr/>
            </w:pPr>
            <w:r>
              <w:rPr>
                <w:sz w:val="18"/>
                <w:szCs w:val="18"/>
                <w:lang w:val="en-US"/>
              </w:rPr>
              <w:t>{$overdue_total}</w:t>
            </w:r>
          </w:p>
        </w:tc>
        <w:tc>
          <w:tcPr>
            <w:tcW w:w="501" w:type="dxa"/>
            <w:tcBorders/>
          </w:tcPr>
          <w:p>
            <w:pPr>
              <w:pStyle w:val="Normal"/>
              <w:widowControl w:val="false"/>
              <w:rPr/>
            </w:pPr>
            <w:r>
              <w:rPr/>
              <w:t>сўм</w:t>
            </w:r>
          </w:p>
        </w:tc>
        <w:tc>
          <w:tcPr>
            <w:tcW w:w="2000" w:type="dxa"/>
            <w:tcBorders/>
          </w:tcPr>
          <w:p>
            <w:pPr>
              <w:pStyle w:val="Normal"/>
              <w:widowControl w:val="false"/>
              <w:rPr/>
            </w:pPr>
            <w:r>
              <w:rPr/>
            </w:r>
          </w:p>
        </w:tc>
        <w:tc>
          <w:tcPr>
            <w:tcW w:w="100" w:type="dxa"/>
            <w:tcBorders/>
          </w:tcPr>
          <w:p>
            <w:pPr>
              <w:pStyle w:val="Normal"/>
              <w:widowControl w:val="false"/>
              <w:rPr/>
            </w:pPr>
            <w:r>
              <w:rPr/>
            </w:r>
          </w:p>
        </w:tc>
        <w:tc>
          <w:tcPr>
            <w:tcW w:w="1866" w:type="dxa"/>
            <w:tcBorders/>
          </w:tcPr>
          <w:p>
            <w:pPr>
              <w:pStyle w:val="Normal"/>
              <w:widowControl w:val="false"/>
              <w:rPr/>
            </w:pPr>
            <w:r>
              <w:rPr/>
            </w:r>
          </w:p>
        </w:tc>
        <w:tc>
          <w:tcPr>
            <w:tcW w:w="1000" w:type="dxa"/>
            <w:tcBorders/>
          </w:tcPr>
          <w:p>
            <w:pPr>
              <w:pStyle w:val="Normal"/>
              <w:widowControl w:val="false"/>
              <w:rPr/>
            </w:pPr>
            <w:r>
              <w:rPr/>
            </w:r>
          </w:p>
        </w:tc>
      </w:tr>
      <w:tr>
        <w:trPr/>
        <w:tc>
          <w:tcPr>
            <w:tcW w:w="2000" w:type="dxa"/>
            <w:tcBorders/>
          </w:tcPr>
          <w:p>
            <w:pPr>
              <w:pStyle w:val="Normal"/>
              <w:widowControl w:val="false"/>
              <w:rPr/>
            </w:pPr>
            <w:r>
              <w:rPr/>
              <w:t>- Жами даъво суммаси:</w:t>
            </w:r>
          </w:p>
        </w:tc>
        <w:tc>
          <w:tcPr>
            <w:tcW w:w="99" w:type="dxa"/>
            <w:tcBorders/>
          </w:tcPr>
          <w:p>
            <w:pPr>
              <w:pStyle w:val="Normal"/>
              <w:widowControl w:val="false"/>
              <w:rPr/>
            </w:pPr>
            <w:r>
              <w:rPr/>
              <w:t>-</w:t>
            </w:r>
          </w:p>
        </w:tc>
        <w:tc>
          <w:tcPr>
            <w:tcW w:w="1500" w:type="dxa"/>
            <w:tcBorders/>
          </w:tcPr>
          <w:p>
            <w:pPr>
              <w:pStyle w:val="Normal"/>
              <w:widowControl w:val="false"/>
              <w:jc w:val="center"/>
              <w:rPr/>
            </w:pPr>
            <w:r>
              <w:rPr>
                <w:sz w:val="18"/>
                <w:szCs w:val="18"/>
                <w:lang w:val="en-US"/>
              </w:rPr>
              <w:t>{$total}</w:t>
            </w:r>
          </w:p>
        </w:tc>
        <w:tc>
          <w:tcPr>
            <w:tcW w:w="501" w:type="dxa"/>
            <w:tcBorders/>
          </w:tcPr>
          <w:p>
            <w:pPr>
              <w:pStyle w:val="Normal"/>
              <w:widowControl w:val="false"/>
              <w:rPr/>
            </w:pPr>
            <w:r>
              <w:rPr/>
              <w:t>сўм</w:t>
            </w:r>
          </w:p>
        </w:tc>
        <w:tc>
          <w:tcPr>
            <w:tcW w:w="2000" w:type="dxa"/>
            <w:tcBorders/>
          </w:tcPr>
          <w:p>
            <w:pPr>
              <w:pStyle w:val="Normal"/>
              <w:widowControl w:val="false"/>
              <w:rPr/>
            </w:pPr>
            <w:r>
              <w:rPr/>
            </w:r>
          </w:p>
        </w:tc>
        <w:tc>
          <w:tcPr>
            <w:tcW w:w="100" w:type="dxa"/>
            <w:tcBorders/>
          </w:tcPr>
          <w:p>
            <w:pPr>
              <w:pStyle w:val="Normal"/>
              <w:widowControl w:val="false"/>
              <w:rPr/>
            </w:pPr>
            <w:r>
              <w:rPr/>
            </w:r>
          </w:p>
        </w:tc>
        <w:tc>
          <w:tcPr>
            <w:tcW w:w="1866" w:type="dxa"/>
            <w:tcBorders/>
          </w:tcPr>
          <w:p>
            <w:pPr>
              <w:pStyle w:val="Normal"/>
              <w:widowControl w:val="false"/>
              <w:rPr/>
            </w:pPr>
            <w:r>
              <w:rPr/>
            </w:r>
          </w:p>
        </w:tc>
        <w:tc>
          <w:tcPr>
            <w:tcW w:w="1000" w:type="dxa"/>
            <w:tcBorders/>
          </w:tcPr>
          <w:p>
            <w:pPr>
              <w:pStyle w:val="Normal"/>
              <w:widowControl w:val="false"/>
              <w:rPr/>
            </w:pPr>
            <w:r>
              <w:rPr/>
            </w:r>
          </w:p>
        </w:tc>
      </w:tr>
    </w:tbl>
    <w:p>
      <w:pPr>
        <w:pStyle w:val="Paragraph"/>
        <w:spacing w:before="100" w:after="100"/>
        <w:rPr/>
      </w:pPr>
      <w:r>
        <w:rPr/>
        <w:t xml:space="preserve">   </w:t>
      </w:r>
      <w:r>
        <w:rPr/>
        <w:t xml:space="preserve">Сиздан юкорида кўрсатиб ўтилган кредит карздорлик буйича 3 (уч) кун муддат ичида тўловни амалга оширишингиз </w:t>
      </w:r>
      <w:r>
        <w:rPr>
          <w:b/>
          <w:bCs/>
        </w:rPr>
        <w:t>ТАЛАБ ЭТИЛАДИ.</w:t>
      </w:r>
    </w:p>
    <w:p>
      <w:pPr>
        <w:pStyle w:val="Paragraph"/>
        <w:rPr/>
      </w:pPr>
      <w:r>
        <w:rPr/>
        <w:t xml:space="preserve">   </w:t>
      </w:r>
      <w:r>
        <w:rPr/>
        <w:t>Шу билан бирга, ундирув кредит учун таъминот сифатида тақдим этилган кафиллик асосида кафилга ёки гаров мулки қонунда белгиланган тартибда суднинг хал килув карорига асосан вужудга келган қарздорлик хисобига реализация қилиниши ҳақида огохлантирамиз.</w:t>
      </w:r>
    </w:p>
    <w:p>
      <w:pPr>
        <w:pStyle w:val="Paragraph"/>
        <w:rPr/>
      </w:pPr>
      <w:r>
        <w:rPr/>
        <w:t xml:space="preserve">   </w:t>
      </w:r>
      <w:r>
        <w:rPr/>
        <w:t xml:space="preserve">Агарда ушбу талабномадан кейин тўловларни ўз вақтида амалга оширмасангиз, Ўзбекистон Республикаси Фуқаролик кодексининг 237-324-382 ва 292-моддаларига мувофиқ кредит шартномаси </w:t>
      </w:r>
      <w:r>
        <w:rPr>
          <w:b/>
          <w:bCs/>
        </w:rPr>
        <w:t xml:space="preserve">БИР ТОМОНЛАМА БЕКОР ҚИЛИНИШИ </w:t>
      </w:r>
      <w:r>
        <w:rPr/>
        <w:t>маълум қилинади.</w:t>
      </w:r>
    </w:p>
    <w:p>
      <w:pPr>
        <w:pStyle w:val="Paragraph"/>
        <w:rPr/>
      </w:pPr>
      <w:r>
        <w:rPr/>
        <w:t xml:space="preserve">   </w:t>
      </w:r>
      <w:r>
        <w:rPr/>
        <w:t xml:space="preserve">Ушбу огохлантириш хатидан сўнг, муаммоли муддати ўтган қарздорлик суммасини тўлиқ тўламаган тақдирингизда, ҚЎШИМЧА ҚАРЗДОР ҳисобланган, учинчи шахс кафииллиги тақдим этган </w:t>
      </w:r>
      <w:r>
        <w:rPr>
          <w:b/>
          <w:bCs/>
        </w:rPr>
        <w:t>КАФИЛГА,</w:t>
      </w:r>
      <w:r>
        <w:rPr/>
        <w:t xml:space="preserve"> таъминот мулкини гаров сифатида тақдим этган </w:t>
      </w:r>
      <w:r>
        <w:rPr>
          <w:b/>
          <w:bCs/>
        </w:rPr>
        <w:t>МУЛК ЭГАСИ</w:t>
      </w:r>
      <w:r>
        <w:rPr/>
        <w:t xml:space="preserve"> ёки корхонанинг </w:t>
      </w:r>
      <w:r>
        <w:rPr>
          <w:b/>
          <w:bCs/>
        </w:rPr>
        <w:t>ТАЪСИСЧИСИГА ОГОХЛАНТИРИШ ХАТИ</w:t>
      </w:r>
      <w:r>
        <w:rPr/>
        <w:t xml:space="preserve"> билан мурожаат қилинади.</w:t>
      </w:r>
    </w:p>
    <w:p>
      <w:pPr>
        <w:pStyle w:val="Paragraph"/>
        <w:rPr/>
      </w:pPr>
      <w:r>
        <w:rPr/>
        <w:t xml:space="preserve">   </w:t>
      </w:r>
      <w:r>
        <w:rPr/>
        <w:t xml:space="preserve">Шу билан бирга кредит шартномасини муддатидан олдин бекор қилиш, кредит қарздорликни муддатидан олдин ундириш ундирувни гаровдаги мулкларга қаратиш тўғрисида тегишли судга мурожаат қилиниши ва суднинг хал қилув қарорига асосан кредит маблағларидан ташқари даъво суммасидан келиб чиқиб давлат божи ва ижро йиғимлари қарздорликга қўшимча равишда хисобланиши ва ундириб олиниши ҳақида ҳамда Сизга ажратилган кредит маблағи </w:t>
      </w:r>
      <w:r>
        <w:rPr>
          <w:b/>
          <w:bCs/>
        </w:rPr>
        <w:t>МАҚСАДСИЗ САРФЛАНГАНЛИГИ</w:t>
      </w:r>
      <w:r>
        <w:rPr/>
        <w:t xml:space="preserve"> аниқланган тақдирда, йиғилган хужжатлар Суд ёки Прокуратура органларига топширилиши ва 25% (йигирма беш) миқдорида жарима ундирилиши ҳақида </w:t>
      </w:r>
      <w:r>
        <w:rPr>
          <w:b/>
          <w:bCs/>
        </w:rPr>
        <w:t>ОГОХЛАНТИРАМАН!</w:t>
      </w:r>
    </w:p>
    <w:p>
      <w:pPr>
        <w:pStyle w:val="Normal"/>
        <w:spacing w:before="200" w:after="0"/>
        <w:rPr/>
      </w:pPr>
      <w:r>
        <w:rPr>
          <w:sz w:val="22"/>
          <w:szCs w:val="22"/>
        </w:rPr>
        <w:t xml:space="preserve">«Микрокредитбанк» АТБ </w:t>
        <w:br/>
        <w:t>{$</w:t>
      </w:r>
      <w:r>
        <w:rPr>
          <w:sz w:val="22"/>
          <w:szCs w:val="22"/>
          <w:lang w:val="en-US"/>
        </w:rPr>
        <w:t>branch</w:t>
      </w:r>
      <w:r>
        <w:rPr>
          <w:sz w:val="22"/>
          <w:szCs w:val="22"/>
        </w:rPr>
        <w:t>_</w:t>
      </w:r>
      <w:r>
        <w:rPr>
          <w:sz w:val="22"/>
          <w:szCs w:val="22"/>
          <w:lang w:val="en-US"/>
        </w:rPr>
        <w:t>region</w:t>
      </w:r>
      <w:r>
        <w:rPr>
          <w:sz w:val="22"/>
          <w:szCs w:val="22"/>
        </w:rPr>
        <w:t>} минтақавий</w:t>
      </w:r>
    </w:p>
    <w:p>
      <w:pPr>
        <w:pStyle w:val="Paragraph"/>
        <w:rPr/>
      </w:pPr>
      <w:r>
        <w:rPr/>
        <w:t>филиали бошлиғи:</w:t>
        <w:tab/>
        <w:tab/>
        <w:tab/>
        <w:tab/>
        <w:tab/>
        <w:tab/>
        <w:tab/>
        <w:t>{$</w:t>
      </w:r>
      <w:r>
        <w:rPr>
          <w:lang w:val="en-US"/>
        </w:rPr>
        <w:t>branch</w:t>
      </w:r>
      <w:r>
        <w:rPr/>
        <w:t>_</w:t>
      </w:r>
      <w:r>
        <w:rPr>
          <w:lang w:val="en-US"/>
        </w:rPr>
        <w:t>manager</w:t>
      </w:r>
      <w:r>
        <w:rPr/>
        <w:t>}</w:t>
      </w:r>
    </w:p>
    <w:p>
      <w:pPr>
        <w:pStyle w:val="Normal"/>
        <w:ind w:right="-1" w:hanging="0"/>
        <w:rPr/>
      </w:pPr>
      <w:r>
        <w:rPr/>
      </w:r>
    </w:p>
    <w:sectPr>
      <w:type w:val="nextPage"/>
      <w:pgSz w:w="11906" w:h="16838"/>
      <w:pgMar w:left="1418" w:right="849"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66dcf"/>
    <w:pPr>
      <w:widowControl/>
      <w:bidi w:val="0"/>
      <w:spacing w:lineRule="auto" w:line="240" w:before="0" w:after="0"/>
      <w:jc w:val="left"/>
    </w:pPr>
    <w:rPr>
      <w:rFonts w:ascii="Times New Roman" w:hAnsi="Times New Roman" w:eastAsia="Times New Roman" w:cs="Times New Roman"/>
      <w:color w:val="auto"/>
      <w:kern w:val="0"/>
      <w:sz w:val="20"/>
      <w:szCs w:val="20"/>
      <w:lang w:eastAsia="ru-RU" w:val="ru-RU" w:bidi="ar-SA"/>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link w:val="Header"/>
    <w:qFormat/>
    <w:rsid w:val="00866dcf"/>
    <w:rPr>
      <w:rFonts w:ascii="Times New Roman" w:hAnsi="Times New Roman" w:eastAsia="Times New Roman" w:cs="Times New Roman"/>
      <w:b/>
      <w:bCs/>
      <w:sz w:val="28"/>
      <w:szCs w:val="28"/>
      <w:lang w:eastAsia="ru-RU"/>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866dcf"/>
    <w:pPr>
      <w:widowControl/>
      <w:bidi w:val="0"/>
      <w:spacing w:lineRule="auto" w:line="240" w:before="0" w:after="0"/>
      <w:jc w:val="left"/>
    </w:pPr>
    <w:rPr>
      <w:rFonts w:ascii="Times New Roman" w:hAnsi="Times New Roman" w:eastAsia="Times New Roman" w:cs="Times New Roman"/>
      <w:color w:val="auto"/>
      <w:kern w:val="0"/>
      <w:sz w:val="20"/>
      <w:szCs w:val="20"/>
      <w:lang w:eastAsia="ru-RU" w:val="ru-RU" w:bidi="ar-SA"/>
    </w:rPr>
  </w:style>
  <w:style w:type="paragraph" w:styleId="Paragraph" w:customStyle="1">
    <w:name w:val="Paragraph"/>
    <w:qFormat/>
    <w:rsid w:val="00866dcf"/>
    <w:pPr>
      <w:widowControl/>
      <w:bidi w:val="0"/>
      <w:spacing w:lineRule="auto" w:line="240" w:before="0" w:after="0"/>
      <w:jc w:val="both"/>
    </w:pPr>
    <w:rPr>
      <w:rFonts w:ascii="Times New Roman" w:hAnsi="Times New Roman" w:eastAsia="Times New Roman" w:cs="Times New Roman"/>
      <w:color w:val="auto"/>
      <w:kern w:val="0"/>
      <w:sz w:val="22"/>
      <w:szCs w:val="22"/>
      <w:lang w:eastAsia="ru-RU" w:val="ru-RU" w:bidi="ar-SA"/>
    </w:rPr>
  </w:style>
  <w:style w:type="paragraph" w:styleId="HeaderandFooter">
    <w:name w:val="Header and Footer"/>
    <w:basedOn w:val="Normal"/>
    <w:qFormat/>
    <w:pPr/>
    <w:rPr/>
  </w:style>
  <w:style w:type="paragraph" w:styleId="Header">
    <w:name w:val="Header"/>
    <w:link w:val="Style14"/>
    <w:rsid w:val="00866dcf"/>
    <w:pPr>
      <w:widowControl/>
      <w:bidi w:val="0"/>
      <w:spacing w:lineRule="auto" w:line="240" w:before="200" w:after="200"/>
      <w:jc w:val="center"/>
    </w:pPr>
    <w:rPr>
      <w:rFonts w:ascii="Times New Roman" w:hAnsi="Times New Roman" w:eastAsia="Times New Roman" w:cs="Times New Roman"/>
      <w:b/>
      <w:bCs/>
      <w:color w:val="auto"/>
      <w:kern w:val="0"/>
      <w:sz w:val="28"/>
      <w:szCs w:val="28"/>
      <w:lang w:eastAsia="ru-RU" w:val="ru-RU" w:bidi="ar-SA"/>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Application>LibreOffice/7.3.7.2$Linux_X86_64 LibreOffice_project/30$Build-2</Application>
  <AppVersion>15.0000</AppVersion>
  <Pages>1</Pages>
  <Words>314</Words>
  <Characters>2256</Characters>
  <CharactersWithSpaces>2557</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2023-01-12T10:41:00Z</dcterms:created>
  <dc:creator>Руслан</dc:creator>
  <dc:description/>
  <dc:language>en-US</dc:language>
  <cp:lastModifiedBy/>
  <dcterms:modified xsi:type="dcterms:W3CDTF">2023-09-26T15:22:31Z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