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C628F">
      <w:pPr>
        <w:spacing w:before="320" w:after="40" w:line="307" w:lineRule="auto"/>
        <w:ind w:left="0" w:right="0" w:firstLine="0"/>
        <w:jc w:val="center"/>
      </w:pPr>
      <w:r>
        <w:rPr>
          <w:rFonts w:ascii="微软雅黑" w:hAnsi="微软雅黑" w:eastAsia="微软雅黑" w:cs="微软雅黑"/>
          <w:b/>
          <w:color w:val="1F3B63"/>
          <w:sz w:val="40"/>
        </w:rPr>
        <w:t>双目视觉装配流程检查系统</w:t>
      </w:r>
    </w:p>
    <w:p w14:paraId="161992F2">
      <w:pPr>
        <w:spacing w:before="0" w:after="200" w:line="307" w:lineRule="auto"/>
        <w:ind w:left="0" w:right="0" w:firstLine="0"/>
        <w:jc w:val="center"/>
      </w:pPr>
      <w:r>
        <w:rPr>
          <w:rFonts w:ascii="微软雅黑" w:hAnsi="微软雅黑" w:eastAsia="微软雅黑" w:cs="微软雅黑"/>
          <w:b/>
          <w:color w:val="B03A2B"/>
          <w:sz w:val="28"/>
        </w:rPr>
        <w:t>方 案 总 纲</w:t>
      </w:r>
    </w:p>
    <w:p w14:paraId="6A4EF708">
      <w:pPr>
        <w:spacing w:before="0" w:after="80" w:line="307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0"/>
        </w:rPr>
        <w:t>硬件平台：树莓派 4B ＋ HBV-1714-2 S2.0 双目相机　|　交付周期：14 天</w:t>
      </w:r>
    </w:p>
    <w:p w14:paraId="5C47540E">
      <w:pPr>
        <w:spacing w:before="0" w:after="120" w:line="307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b w:val="0"/>
          <w:color w:val="595959"/>
          <w:sz w:val="20"/>
        </w:rPr>
        <w:t>工件：黄铜船用舵轮摆件（6 类零件、共 13 件）</w:t>
      </w:r>
    </w:p>
    <w:p w14:paraId="16659C52">
      <w:pPr>
        <w:pBdr>
          <w:bottom w:val="single" w:color="BFC7D5" w:sz="8" w:space="1"/>
        </w:pBdr>
        <w:spacing w:before="40" w:after="160" w:line="240" w:lineRule="auto"/>
        <w:ind w:left="0" w:right="0" w:firstLine="0"/>
      </w:pPr>
    </w:p>
    <w:p w14:paraId="5692B47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一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</w:rPr>
        <w:t>四个核心决策</w:t>
      </w:r>
    </w:p>
    <w:tbl>
      <w:tblPr>
        <w:tblStyle w:val="33"/>
        <w:tblW w:w="8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309"/>
        <w:gridCol w:w="3855"/>
      </w:tblGrid>
      <w:tr w14:paraId="7C62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DCE6F1"/>
          </w:tcPr>
          <w:p w14:paraId="5505CE53">
            <w:pPr>
              <w:spacing w:before="30" w:after="30" w:line="276" w:lineRule="auto"/>
              <w:jc w:val="center"/>
            </w:pPr>
          </w:p>
        </w:tc>
        <w:tc>
          <w:tcPr>
            <w:tcW w:w="4309" w:type="dxa"/>
            <w:shd w:val="clear" w:color="auto" w:fill="DCE6F1"/>
          </w:tcPr>
          <w:p w14:paraId="48019B8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决策内容</w:t>
            </w:r>
          </w:p>
        </w:tc>
        <w:tc>
          <w:tcPr>
            <w:tcW w:w="3855" w:type="dxa"/>
            <w:shd w:val="clear" w:color="auto" w:fill="DCE6F1"/>
          </w:tcPr>
          <w:p w14:paraId="16EAB301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依据</w:t>
            </w:r>
          </w:p>
        </w:tc>
      </w:tr>
      <w:tr w14:paraId="6868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DFAD28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D1</w:t>
            </w:r>
          </w:p>
        </w:tc>
        <w:tc>
          <w:tcPr>
            <w:tcW w:w="4309" w:type="dxa"/>
          </w:tcPr>
          <w:p w14:paraId="763BC776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主算法不依赖深度学习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：黄铜件用 HSV 饱和度分割 ＋ 轮廓几何特征 ＋ 标准轮廓比对</w:t>
            </w:r>
          </w:p>
        </w:tc>
        <w:tc>
          <w:tcPr>
            <w:tcW w:w="3855" w:type="dxa"/>
          </w:tcPr>
          <w:p w14:paraId="57120075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黄铜与白色底纸在饱和度上天然可分；六类零件形状差异明显；Pi 4B 上单帧 &lt; 8 ms，且零标注、零训练。YOLOv8n 仅作可选增强</w:t>
            </w:r>
          </w:p>
        </w:tc>
      </w:tr>
      <w:tr w14:paraId="00F56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6499B6C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D2</w:t>
            </w:r>
          </w:p>
        </w:tc>
        <w:tc>
          <w:tcPr>
            <w:tcW w:w="4309" w:type="dxa"/>
          </w:tcPr>
          <w:p w14:paraId="1315D1F7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人手 ＝ 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蓝色手套 HSV 色相分割</w:t>
            </w:r>
          </w:p>
        </w:tc>
        <w:tc>
          <w:tcPr>
            <w:tcW w:w="3855" w:type="dxa"/>
          </w:tcPr>
          <w:p w14:paraId="510EF972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保证画面内无相近颜色 → 阈值分割即可，</w:t>
            </w:r>
          </w:p>
        </w:tc>
      </w:tr>
      <w:tr w14:paraId="00EB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945E3CD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D3</w:t>
            </w:r>
          </w:p>
        </w:tc>
        <w:tc>
          <w:tcPr>
            <w:tcW w:w="4309" w:type="dxa"/>
          </w:tcPr>
          <w:p w14:paraId="1F9A5DB8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位置即身份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：料盘料位与装配位固定 → 固定 ROI 逐位核验</w:t>
            </w:r>
          </w:p>
        </w:tc>
        <w:tc>
          <w:tcPr>
            <w:tcW w:w="3855" w:type="dxa"/>
          </w:tcPr>
          <w:p w14:paraId="38612D37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缺件判定退化为「该位金属覆盖率」，极稳且算力几乎为零</w:t>
            </w:r>
          </w:p>
        </w:tc>
      </w:tr>
      <w:tr w14:paraId="17A6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683B15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D4</w:t>
            </w:r>
          </w:p>
        </w:tc>
        <w:tc>
          <w:tcPr>
            <w:tcW w:w="4309" w:type="dxa"/>
          </w:tcPr>
          <w:p w14:paraId="382553C5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深度降级为低频辅助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（约 1 Hz）</w:t>
            </w:r>
          </w:p>
        </w:tc>
        <w:tc>
          <w:tcPr>
            <w:tcW w:w="3855" w:type="dxa"/>
          </w:tcPr>
          <w:p w14:paraId="6609E028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深度只用于俯视看不见的立柱（轮盘高度），以及可选的缺件高度图差分</w:t>
            </w:r>
          </w:p>
        </w:tc>
      </w:tr>
    </w:tbl>
    <w:p w14:paraId="4F0D9E3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二</w:t>
      </w:r>
      <w:r>
        <w:rPr>
          <w:rFonts w:hint="eastAsia" w:ascii="黑体" w:hAnsi="黑体" w:eastAsia="黑体" w:cs="黑体"/>
        </w:rPr>
        <w:t>、零件合格性检查（要求①）—— 单画面料盘核验</w:t>
      </w:r>
    </w:p>
    <w:p w14:paraId="0B09B98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.1　设计思路</w:t>
      </w:r>
    </w:p>
    <w:p w14:paraId="275F542F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所有待装零件按</w:t>
      </w:r>
      <w:r>
        <w:rPr>
          <w:rFonts w:ascii="Times New Roman" w:hAnsi="Times New Roman" w:eastAsia="宋体" w:cs="Times New Roman"/>
          <w:b/>
          <w:sz w:val="21"/>
        </w:rPr>
        <w:t>固定料位</w:t>
      </w:r>
      <w:r>
        <w:rPr>
          <w:rFonts w:ascii="Times New Roman" w:hAnsi="Times New Roman" w:eastAsia="宋体" w:cs="Times New Roman"/>
          <w:b w:val="0"/>
          <w:sz w:val="21"/>
        </w:rPr>
        <w:t xml:space="preserve">平铺在同一画面内→ </w:t>
      </w:r>
      <w:r>
        <w:rPr>
          <w:rFonts w:ascii="Times New Roman" w:hAnsi="Times New Roman" w:eastAsia="宋体" w:cs="Times New Roman"/>
          <w:b/>
          <w:sz w:val="21"/>
        </w:rPr>
        <w:t>位置即身份</w:t>
      </w:r>
    </w:p>
    <w:p w14:paraId="48098055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一帧全分辨率图像，一次同时完成「有没有缺件」与「零件是否完整」两项判定</w:t>
      </w:r>
    </w:p>
    <w:p w14:paraId="0B1AA34B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光照与白平衡</w:t>
      </w:r>
    </w:p>
    <w:p w14:paraId="71580C84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.2　料盘标定</w:t>
      </w:r>
    </w:p>
    <w:p w14:paraId="29D3B2F7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1.  </w:t>
      </w:r>
      <w:r>
        <w:rPr>
          <w:rFonts w:ascii="Times New Roman" w:hAnsi="Times New Roman" w:eastAsia="宋体" w:cs="Times New Roman"/>
          <w:b w:val="0"/>
          <w:sz w:val="21"/>
        </w:rPr>
        <w:t>料盘上放标定板 → 双目标定；再放平面标定板 → 得到「像素 ↔ 料盘毫米」的单应矩阵 H</w:t>
      </w:r>
    </w:p>
    <w:p w14:paraId="11F4F2D7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2.  </w:t>
      </w:r>
      <w:r>
        <w:rPr>
          <w:rFonts w:ascii="Times New Roman" w:hAnsi="Times New Roman" w:eastAsia="宋体" w:cs="Times New Roman"/>
          <w:b w:val="0"/>
          <w:sz w:val="21"/>
        </w:rPr>
        <w:t xml:space="preserve">在料盘毫米坐标系里定义每个料位的 ROI（8 个辐条位 ＋ </w:t>
      </w:r>
      <w:r>
        <w:rPr>
          <w:rFonts w:hint="eastAsia" w:cs="Times New Roman"/>
          <w:b w:val="0"/>
          <w:sz w:val="21"/>
          <w:lang w:val="en-US" w:eastAsia="zh-CN"/>
        </w:rPr>
        <w:t>其余零件</w:t>
      </w:r>
      <w:r>
        <w:rPr>
          <w:rFonts w:ascii="Times New Roman" w:hAnsi="Times New Roman" w:eastAsia="宋体" w:cs="Times New Roman"/>
          <w:b w:val="0"/>
          <w:sz w:val="21"/>
        </w:rPr>
        <w:t>各一位），写进 YAML</w:t>
      </w:r>
    </w:p>
    <w:p w14:paraId="249A48E4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3.  </w:t>
      </w:r>
      <w:r>
        <w:rPr>
          <w:rFonts w:ascii="Times New Roman" w:hAnsi="Times New Roman" w:eastAsia="宋体" w:cs="Times New Roman"/>
          <w:b w:val="0"/>
          <w:sz w:val="21"/>
        </w:rPr>
        <w:t>放一整套</w:t>
      </w:r>
      <w:r>
        <w:rPr>
          <w:rFonts w:ascii="Times New Roman" w:hAnsi="Times New Roman" w:eastAsia="宋体" w:cs="Times New Roman"/>
          <w:b/>
          <w:sz w:val="21"/>
        </w:rPr>
        <w:t>已知合格的标准件</w:t>
      </w:r>
      <w:r>
        <w:rPr>
          <w:rFonts w:ascii="Times New Roman" w:hAnsi="Times New Roman" w:eastAsia="宋体" w:cs="Times New Roman"/>
          <w:b w:val="0"/>
          <w:sz w:val="21"/>
        </w:rPr>
        <w:t>，采 20 帧，逐位保存：标准掩膜、标准轮廓特征（均值 ± 3σ）、覆盖率基线</w:t>
      </w:r>
    </w:p>
    <w:p w14:paraId="035E9C85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4.  </w:t>
      </w:r>
      <w:r>
        <w:rPr>
          <w:rFonts w:ascii="Times New Roman" w:hAnsi="Times New Roman" w:eastAsia="宋体" w:cs="Times New Roman"/>
          <w:b w:val="0"/>
          <w:sz w:val="21"/>
        </w:rPr>
        <w:t>运行时所有阈值从这份标定文件读取；更换工件后重跑一次</w:t>
      </w:r>
    </w:p>
    <w:p w14:paraId="003B7D7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.3　逐位核验算法（朝向不固定 → 必须用旋转不变判据）</w:t>
      </w:r>
    </w:p>
    <w:p w14:paraId="7C2858C0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1) 黄铜分割（HSV S 通道）→ 形态学开闭 → 前景掩膜</w:t>
      </w:r>
    </w:p>
    <w:p w14:paraId="2582C918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2) 对每个料位 ROI：</w:t>
      </w:r>
    </w:p>
    <w:p w14:paraId="34CE6AE7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覆盖率 r = 金属像素数 / ROI 面积</w:t>
      </w:r>
    </w:p>
    <w:p w14:paraId="2EFA61FF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r &lt; r_min        → 判定「缺件」（红框）</w:t>
      </w:r>
    </w:p>
    <w:p w14:paraId="4292763A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3) 该位存在时，因朝向不固定，用旋转不变判据（建议 a+b 同时用，c 作廉价补充）：</w:t>
      </w:r>
    </w:p>
    <w:p w14:paraId="28535199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a) 旋转不变特征：面积、周长、圆度 4πA/P²、凸包实度 A/A_hull、</w:t>
      </w:r>
    </w:p>
    <w:p w14:paraId="4694A3E2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   最小外接矩形长宽比、内孔数   →  与标准值比对</w:t>
      </w:r>
    </w:p>
    <w:p w14:paraId="11B159CE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b) 傅里叶描述子：轮廓 → FFT → 取前 K=16 个归一化幅值</w:t>
      </w:r>
    </w:p>
    <w:p w14:paraId="79736E28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   → 与标准件描述子求欧氏距离，超阈判「不完整」</w:t>
      </w:r>
    </w:p>
    <w:p w14:paraId="41B4E33E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   （幅值谱对平移/旋转/尺度均不变，是"朝向不固定"的标准解法）</w:t>
      </w:r>
    </w:p>
    <w:p w14:paraId="567F1BF8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c) cv2.matchShapes（Hu 矩距离），作为廉价补充判据</w:t>
      </w:r>
    </w:p>
    <w:p w14:paraId="53602481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4) 需要判方向时（辐条装反、顶盖图案朝向）才做主轴对齐：</w:t>
      </w:r>
    </w:p>
    <w:p w14:paraId="56058835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以最小外接矩形主轴把轮廓旋到基准方向 → 比较两端宽度</w:t>
      </w:r>
    </w:p>
    <w:p w14:paraId="350EC397">
      <w:pPr>
        <w:shd w:val="clear" w:color="auto" w:fill="F2F4F7"/>
        <w:spacing w:before="0" w:after="16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5) 输出：逐位 {零件, 有/无, 完整/不完整, 覆盖率, 描述子距离}，画面上分色标注</w:t>
      </w:r>
    </w:p>
    <w:p w14:paraId="05F6952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2</w:t>
      </w:r>
      <w:r>
        <w:rPr>
          <w:rFonts w:hint="eastAsia" w:ascii="黑体" w:hAnsi="黑体" w:eastAsia="黑体" w:cs="黑体"/>
        </w:rPr>
        <w:t>.</w:t>
      </w: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　误报抑制与输出</w:t>
      </w:r>
    </w:p>
    <w:p w14:paraId="6723E8FB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时间一致性：连续 2 帧均判 NG 才输出 NG</w:t>
      </w:r>
    </w:p>
    <w:p w14:paraId="01860AF4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空间一致性：判定为缺陷的连通域 ≥ 200 像素</w:t>
      </w:r>
    </w:p>
    <w:p w14:paraId="7E391859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输出：逐位 {零件, 有无, 完整/不完整, 指标值, 判定}；屏幕上每个料位画框分色（绿/黄/红）</w:t>
      </w:r>
    </w:p>
    <w:p w14:paraId="6D8B70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存疑机制</w:t>
      </w:r>
      <w:r>
        <w:rPr>
          <w:rFonts w:ascii="Times New Roman" w:hAnsi="Times New Roman" w:eastAsia="宋体" w:cs="Times New Roman"/>
          <w:b w:val="0"/>
          <w:sz w:val="21"/>
        </w:rPr>
        <w:t>：指标落在阈值 ±10% 带内 → 输出「存疑，请人工复核」，不硬判</w:t>
      </w:r>
    </w:p>
    <w:p w14:paraId="2C6DB618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三</w:t>
      </w:r>
      <w:r>
        <w:rPr>
          <w:rFonts w:hint="eastAsia" w:ascii="黑体" w:hAnsi="黑体" w:eastAsia="黑体" w:cs="黑体"/>
        </w:rPr>
        <w:t>、实时</w:t>
      </w:r>
      <w:r>
        <w:rPr>
          <w:rFonts w:hint="eastAsia" w:ascii="黑体" w:hAnsi="黑体" w:eastAsia="黑体" w:cs="黑体"/>
        </w:rPr>
        <w:t>识别：零件与蓝手套（要求②）</w:t>
      </w:r>
    </w:p>
    <w:p w14:paraId="125D775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>.1　蓝手套分割</w:t>
      </w:r>
    </w:p>
    <w:p w14:paraId="6EEAA43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阈值：HSV 中 H ∈ [95, 130]、S ≥ 80、V ≥ 40（</w:t>
      </w:r>
      <w:r>
        <w:rPr>
          <w:rFonts w:ascii="Times New Roman" w:hAnsi="Times New Roman" w:eastAsia="宋体" w:cs="Times New Roman"/>
          <w:b/>
          <w:sz w:val="21"/>
        </w:rPr>
        <w:t>具体数值必须在 D1 用实物手套 ＋ 实际灯光标定后写进 YAML</w:t>
      </w:r>
      <w:r>
        <w:rPr>
          <w:rFonts w:ascii="Times New Roman" w:hAnsi="Times New Roman" w:eastAsia="宋体" w:cs="Times New Roman"/>
          <w:b w:val="0"/>
          <w:sz w:val="21"/>
        </w:rPr>
        <w:t>）</w:t>
      </w:r>
    </w:p>
    <w:p w14:paraId="04A8055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流程：形态学开（去噪点）→ 闭（补高光空洞）→ 取最大连通域 → 手部掩膜与外接框</w:t>
      </w:r>
    </w:p>
    <w:p w14:paraId="3A8BAAF4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闸门：面积 ∈ [3000, 200000] 像素、外接框长宽比 &lt; 6，滤掉蓝色噪声与屏幕反光</w:t>
      </w:r>
    </w:p>
    <w:p w14:paraId="53A9EE3F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开销 </w:t>
      </w:r>
      <w:r>
        <w:rPr>
          <w:rFonts w:ascii="Times New Roman" w:hAnsi="Times New Roman" w:eastAsia="宋体" w:cs="Times New Roman"/>
          <w:b/>
          <w:sz w:val="21"/>
        </w:rPr>
        <w:t>&lt; 2 ms/帧</w:t>
      </w:r>
      <w:r>
        <w:rPr>
          <w:rFonts w:ascii="Times New Roman" w:hAnsi="Times New Roman" w:eastAsia="宋体" w:cs="Times New Roman"/>
          <w:b w:val="0"/>
          <w:sz w:val="21"/>
        </w:rPr>
        <w:t>；可选加凸包缺陷算手指朝向，仅作显示增强，非必需</w:t>
      </w:r>
    </w:p>
    <w:p w14:paraId="4349291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必须锁定白平衡（关闭自动白平衡）</w:t>
      </w:r>
      <w:r>
        <w:rPr>
          <w:rFonts w:ascii="Times New Roman" w:hAnsi="Times New Roman" w:eastAsia="宋体" w:cs="Times New Roman"/>
          <w:b w:val="0"/>
          <w:sz w:val="21"/>
        </w:rPr>
        <w:t>，否则蓝色阈值会随灯光漂移——这是最容易踩的坑</w:t>
      </w:r>
    </w:p>
    <w:p w14:paraId="74ED0825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风险控制：工位禁止出现蓝色物体（蓝笔、蓝布、蓝色包装、牛仔裤入画）；</w:t>
      </w:r>
    </w:p>
    <w:p w14:paraId="5B915DC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>.2　零件识别：黄铜分割 ＋ 形状分类</w:t>
      </w:r>
    </w:p>
    <w:p w14:paraId="280F161A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分割：HSV 中 H ∈ [10, 40] 且 </w:t>
      </w:r>
      <w:r>
        <w:rPr>
          <w:rFonts w:ascii="Times New Roman" w:hAnsi="Times New Roman" w:eastAsia="宋体" w:cs="Times New Roman"/>
          <w:b/>
          <w:sz w:val="21"/>
        </w:rPr>
        <w:t>S ≥ 60</w:t>
      </w:r>
      <w:r>
        <w:rPr>
          <w:rFonts w:ascii="Times New Roman" w:hAnsi="Times New Roman" w:eastAsia="宋体" w:cs="Times New Roman"/>
          <w:b w:val="0"/>
          <w:sz w:val="21"/>
        </w:rPr>
        <w:t>。白纸与白色底垫的 S ≈ 0，所以用</w:t>
      </w:r>
      <w:r>
        <w:rPr>
          <w:rFonts w:ascii="Times New Roman" w:hAnsi="Times New Roman" w:eastAsia="宋体" w:cs="Times New Roman"/>
          <w:b/>
          <w:sz w:val="21"/>
        </w:rPr>
        <w:t>饱和度而不是灰度</w:t>
      </w:r>
      <w:r>
        <w:rPr>
          <w:rFonts w:ascii="Times New Roman" w:hAnsi="Times New Roman" w:eastAsia="宋体" w:cs="Times New Roman"/>
          <w:b w:val="0"/>
          <w:sz w:val="21"/>
        </w:rPr>
        <w:t>分离黄铜，抗反光、抗阴影，比灰度阈值稳得多</w:t>
      </w:r>
    </w:p>
    <w:p w14:paraId="29A39222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高光补偿：金属镜面反射会造成区域空洞 → 形态学闭运算补洞，并且</w:t>
      </w:r>
      <w:r>
        <w:rPr>
          <w:rFonts w:ascii="Times New Roman" w:hAnsi="Times New Roman" w:eastAsia="宋体" w:cs="Times New Roman"/>
          <w:b/>
          <w:sz w:val="21"/>
        </w:rPr>
        <w:t>用凸包/外轮廓计算面积与特征，不用像素计数</w:t>
      </w:r>
    </w:p>
    <w:p w14:paraId="1972471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特征向量：最小外接矩形长宽比、圆度 4πA/P²、内孔数、凸包实度 、</w:t>
      </w:r>
      <w:r>
        <w:rPr>
          <w:rFonts w:ascii="Times New Roman" w:hAnsi="Times New Roman" w:eastAsia="宋体" w:cs="Times New Roman"/>
          <w:b/>
          <w:sz w:val="21"/>
        </w:rPr>
        <w:t>主轴两端 1/5 段的宽度比</w:t>
      </w:r>
      <w:r>
        <w:rPr>
          <w:rFonts w:ascii="Times New Roman" w:hAnsi="Times New Roman" w:eastAsia="宋体" w:cs="Times New Roman"/>
          <w:b w:val="0"/>
          <w:sz w:val="21"/>
        </w:rPr>
        <w:t>、面积</w:t>
      </w:r>
    </w:p>
    <w:p w14:paraId="2DF8F6E0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分类：与「标准特征表」做最近邻（各类均值 ± 3σ 作为接受域），得到 6 类</w:t>
      </w:r>
    </w:p>
    <w:p w14:paraId="5D8345FD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开销：分割约 3 ms ＋ 连通域与特征约 3 ms ＋ 分类 &lt; 1 ms → </w:t>
      </w:r>
      <w:r>
        <w:rPr>
          <w:rFonts w:ascii="Times New Roman" w:hAnsi="Times New Roman" w:eastAsia="宋体" w:cs="Times New Roman"/>
          <w:b/>
          <w:sz w:val="21"/>
        </w:rPr>
        <w:t>单帧 &lt; 8 ms，Pi 4B 上 25–30 fps 无压力</w:t>
      </w:r>
    </w:p>
    <w:p w14:paraId="7AED053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</w:t>
      </w:r>
      <w:r>
        <w:rPr>
          <w:rFonts w:hint="eastAsia" w:ascii="黑体" w:hAnsi="黑体" w:eastAsia="黑体" w:cs="黑体"/>
        </w:rPr>
        <w:t>.3　六类零件与区分判据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701"/>
        <w:gridCol w:w="794"/>
        <w:gridCol w:w="2608"/>
        <w:gridCol w:w="2948"/>
      </w:tblGrid>
      <w:tr w14:paraId="07F5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DCE6F1"/>
          </w:tcPr>
          <w:p w14:paraId="229A15F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DCE6F1"/>
          </w:tcPr>
          <w:p w14:paraId="0CD0861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CE6F1"/>
          </w:tcPr>
          <w:p w14:paraId="5533D129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数量</w:t>
            </w:r>
          </w:p>
        </w:tc>
        <w:tc>
          <w:tcPr>
            <w:tcW w:w="2608" w:type="dxa"/>
            <w:shd w:val="clear" w:color="auto" w:fill="DCE6F1"/>
          </w:tcPr>
          <w:p w14:paraId="099A8287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关键视觉特征</w:t>
            </w:r>
          </w:p>
        </w:tc>
        <w:tc>
          <w:tcPr>
            <w:tcW w:w="2948" w:type="dxa"/>
            <w:shd w:val="clear" w:color="auto" w:fill="DCE6F1"/>
          </w:tcPr>
          <w:p w14:paraId="49BA1B0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区分判据</w:t>
            </w:r>
          </w:p>
        </w:tc>
      </w:tr>
      <w:tr w14:paraId="03D5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3F73B55E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P1</w:t>
            </w:r>
          </w:p>
        </w:tc>
        <w:tc>
          <w:tcPr>
            <w:tcW w:w="1701" w:type="dxa"/>
          </w:tcPr>
          <w:p w14:paraId="2361A859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底座圆盘</w:t>
            </w:r>
          </w:p>
        </w:tc>
        <w:tc>
          <w:tcPr>
            <w:tcW w:w="794" w:type="dxa"/>
          </w:tcPr>
          <w:p w14:paraId="59B793DA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w="2608" w:type="dxa"/>
          </w:tcPr>
          <w:p w14:paraId="2A0E03CE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面积最大、单内孔、表面有刻字</w:t>
            </w:r>
          </w:p>
        </w:tc>
        <w:tc>
          <w:tcPr>
            <w:tcW w:w="2948" w:type="dxa"/>
          </w:tcPr>
          <w:p w14:paraId="241B6976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面积远超其他；圆度 ≈ 1；内孔数 = 1</w:t>
            </w:r>
          </w:p>
        </w:tc>
      </w:tr>
      <w:tr w14:paraId="6411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53089F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P2</w:t>
            </w:r>
          </w:p>
        </w:tc>
        <w:tc>
          <w:tcPr>
            <w:tcW w:w="1701" w:type="dxa"/>
          </w:tcPr>
          <w:p w14:paraId="44B5F6F1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立柱（轴）</w:t>
            </w:r>
          </w:p>
        </w:tc>
        <w:tc>
          <w:tcPr>
            <w:tcW w:w="794" w:type="dxa"/>
          </w:tcPr>
          <w:p w14:paraId="3C558763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w="2608" w:type="dxa"/>
          </w:tcPr>
          <w:p w14:paraId="42624043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极细长条、两端螺纹、中段扁位</w:t>
            </w:r>
          </w:p>
        </w:tc>
        <w:tc>
          <w:tcPr>
            <w:tcW w:w="2948" w:type="dxa"/>
          </w:tcPr>
          <w:p w14:paraId="466D09DC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长宽比 &gt; 5；两端宽度比 ≈ 1</w:t>
            </w:r>
          </w:p>
        </w:tc>
      </w:tr>
      <w:tr w14:paraId="40FFD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4A96043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P3</w:t>
            </w:r>
          </w:p>
        </w:tc>
        <w:tc>
          <w:tcPr>
            <w:tcW w:w="1701" w:type="dxa"/>
          </w:tcPr>
          <w:p w14:paraId="646A09CC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外圈</w:t>
            </w:r>
          </w:p>
        </w:tc>
        <w:tc>
          <w:tcPr>
            <w:tcW w:w="794" w:type="dxa"/>
          </w:tcPr>
          <w:p w14:paraId="458128A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w="2608" w:type="dxa"/>
          </w:tcPr>
          <w:p w14:paraId="27E2E19E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大圆环</w:t>
            </w:r>
          </w:p>
        </w:tc>
        <w:tc>
          <w:tcPr>
            <w:tcW w:w="2948" w:type="dxa"/>
          </w:tcPr>
          <w:p w14:paraId="7E332B14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内孔数 = 1 且内/外径比 ≈ 0.8</w:t>
            </w:r>
          </w:p>
        </w:tc>
      </w:tr>
      <w:tr w14:paraId="44261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1A66B75B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P4</w:t>
            </w:r>
          </w:p>
        </w:tc>
        <w:tc>
          <w:tcPr>
            <w:tcW w:w="1701" w:type="dxa"/>
          </w:tcPr>
          <w:p w14:paraId="7347E7FA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辐条手柄</w:t>
            </w:r>
          </w:p>
        </w:tc>
        <w:tc>
          <w:tcPr>
            <w:tcW w:w="794" w:type="dxa"/>
          </w:tcPr>
          <w:p w14:paraId="4BAD8925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8</w:t>
            </w:r>
          </w:p>
        </w:tc>
        <w:tc>
          <w:tcPr>
            <w:tcW w:w="2608" w:type="dxa"/>
          </w:tcPr>
          <w:p w14:paraId="5A623A1A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中等细长，一端球头、一端螺纹</w:t>
            </w:r>
          </w:p>
        </w:tc>
        <w:tc>
          <w:tcPr>
            <w:tcW w:w="2948" w:type="dxa"/>
          </w:tcPr>
          <w:p w14:paraId="38BACF64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长宽比 2.5–4；两端宽度比 &gt; 1.6（球头端明显更宽）</w:t>
            </w:r>
          </w:p>
        </w:tc>
      </w:tr>
      <w:tr w14:paraId="0574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1E09291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P5</w:t>
            </w:r>
          </w:p>
        </w:tc>
        <w:tc>
          <w:tcPr>
            <w:tcW w:w="1701" w:type="dxa"/>
          </w:tcPr>
          <w:p w14:paraId="7A695DE4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中心轮毂</w:t>
            </w:r>
          </w:p>
        </w:tc>
        <w:tc>
          <w:tcPr>
            <w:tcW w:w="794" w:type="dxa"/>
          </w:tcPr>
          <w:p w14:paraId="1C204227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w="2608" w:type="dxa"/>
          </w:tcPr>
          <w:p w14:paraId="417C7F87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圆形，中心有黑色橡胶轴承密封圈</w:t>
            </w:r>
          </w:p>
        </w:tc>
        <w:tc>
          <w:tcPr>
            <w:tcW w:w="2948" w:type="dxa"/>
          </w:tcPr>
          <w:p w14:paraId="288556F3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环形黄铜 ＋ 中心低饱和暗区</w:t>
            </w:r>
          </w:p>
        </w:tc>
      </w:tr>
      <w:tr w14:paraId="5979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440E50DC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P6</w:t>
            </w:r>
          </w:p>
        </w:tc>
        <w:tc>
          <w:tcPr>
            <w:tcW w:w="1701" w:type="dxa"/>
          </w:tcPr>
          <w:p w14:paraId="560C34AB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顶盖铭牌</w:t>
            </w:r>
          </w:p>
        </w:tc>
        <w:tc>
          <w:tcPr>
            <w:tcW w:w="794" w:type="dxa"/>
          </w:tcPr>
          <w:p w14:paraId="3DF213E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1</w:t>
            </w:r>
          </w:p>
        </w:tc>
        <w:tc>
          <w:tcPr>
            <w:tcW w:w="2608" w:type="dxa"/>
          </w:tcPr>
          <w:p w14:paraId="6E0D8B54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小圆片，带校徽与英文刻字</w:t>
            </w:r>
          </w:p>
        </w:tc>
        <w:tc>
          <w:tcPr>
            <w:tcW w:w="2948" w:type="dxa"/>
          </w:tcPr>
          <w:p w14:paraId="26CA9641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面积小、圆度 ≈ 1、内部灰度方差大</w:t>
            </w:r>
          </w:p>
        </w:tc>
      </w:tr>
    </w:tbl>
    <w:p w14:paraId="177765AB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</w:rPr>
        <w:t>装配流程判断（要求③）</w:t>
      </w:r>
    </w:p>
    <w:p w14:paraId="5CD9618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.1　为什么这个工件反而好判流程</w:t>
      </w:r>
    </w:p>
    <w:p w14:paraId="64236C48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料位固定 → </w:t>
      </w:r>
      <w:r>
        <w:rPr>
          <w:rFonts w:ascii="Times New Roman" w:hAnsi="Times New Roman" w:eastAsia="宋体" w:cs="Times New Roman"/>
          <w:b/>
          <w:sz w:val="21"/>
        </w:rPr>
        <w:t>「取件」本身就是可观测事件</w:t>
      </w:r>
      <w:r>
        <w:rPr>
          <w:rFonts w:ascii="Times New Roman" w:hAnsi="Times New Roman" w:eastAsia="宋体" w:cs="Times New Roman"/>
          <w:b w:val="0"/>
          <w:sz w:val="21"/>
        </w:rPr>
        <w:t>：某料位从「有」变「无」，就知道操作者拿起了哪一种零件</w:t>
      </w:r>
    </w:p>
    <w:p w14:paraId="294CFC6A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装配位状态同样可观测：外圈覆盖率、辐条峰数、中心内孔数、轮盘高度</w:t>
      </w:r>
    </w:p>
    <w:p w14:paraId="290E02D7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把「操作者拿走了什么」与「装配体变成了什么样」两条线合并，流程判断就退化为</w:t>
      </w:r>
      <w:r>
        <w:rPr>
          <w:rFonts w:ascii="Times New Roman" w:hAnsi="Times New Roman" w:eastAsia="宋体" w:cs="Times New Roman"/>
          <w:b/>
          <w:sz w:val="21"/>
        </w:rPr>
        <w:t>装配状态观测 ＋ 前置条件表</w:t>
      </w:r>
      <w:r>
        <w:rPr>
          <w:rFonts w:ascii="Times New Roman" w:hAnsi="Times New Roman" w:eastAsia="宋体" w:cs="Times New Roman"/>
          <w:b w:val="0"/>
          <w:sz w:val="21"/>
        </w:rPr>
        <w:t>——不需要动作识别，也不需要视频标注</w:t>
      </w:r>
    </w:p>
    <w:p w14:paraId="78012E0B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装配过程中立柱是可见的</w:t>
      </w:r>
      <w:r>
        <w:rPr>
          <w:rFonts w:ascii="Times New Roman" w:hAnsi="Times New Roman" w:eastAsia="宋体" w:cs="Times New Roman"/>
          <w:b w:val="0"/>
          <w:sz w:val="21"/>
        </w:rPr>
        <w:t>（轮盘还没装上，俯视能看到竖立的杆），所以过程判断里立柱用 2D 判；只有终检（轮盘已装、立柱被遮住）才必须用轮盘高度</w:t>
      </w:r>
    </w:p>
    <w:p w14:paraId="3261AF9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.3　操作事件与去抖冻结</w:t>
      </w:r>
    </w:p>
    <w:p w14:paraId="596E78EF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取件事件</w:t>
      </w:r>
      <w:r>
        <w:rPr>
          <w:rFonts w:ascii="Times New Roman" w:hAnsi="Times New Roman" w:eastAsia="宋体" w:cs="Times New Roman"/>
          <w:b w:val="0"/>
          <w:sz w:val="21"/>
        </w:rPr>
        <w:t>：料位由「有」变「无」且该时刻 hand_on(slot) 成立 → 事件 pick(P_k)，解释为「操作者拿起了 P_k」</w:t>
      </w:r>
    </w:p>
    <w:p w14:paraId="3A62B00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装配事件</w:t>
      </w:r>
      <w:r>
        <w:rPr>
          <w:rFonts w:ascii="Times New Roman" w:hAnsi="Times New Roman" w:eastAsia="宋体" w:cs="Times New Roman"/>
          <w:b w:val="0"/>
          <w:sz w:val="21"/>
        </w:rPr>
        <w:t>：装配位某观测量发生跃变并稳定（如 spoke_count 由 3 变 4）</w:t>
      </w:r>
    </w:p>
    <w:p w14:paraId="7D414BD7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去抖</w:t>
      </w:r>
      <w:r>
        <w:rPr>
          <w:rFonts w:ascii="Times New Roman" w:hAnsi="Times New Roman" w:eastAsia="宋体" w:cs="Times New Roman"/>
          <w:b w:val="0"/>
          <w:sz w:val="21"/>
        </w:rPr>
        <w:t>：观测量连续 6 帧（约 0.3 s）成立，才认为状态改变</w:t>
      </w:r>
    </w:p>
    <w:p w14:paraId="4F3E5C5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遮挡冻结</w:t>
      </w:r>
      <w:r>
        <w:rPr>
          <w:rFonts w:ascii="Times New Roman" w:hAnsi="Times New Roman" w:eastAsia="宋体" w:cs="Times New Roman"/>
          <w:b w:val="0"/>
          <w:sz w:val="21"/>
        </w:rPr>
        <w:t>：hand_on(该 ROI) 成立时冻结对应观测量，手离开后连续 3 帧重新确认——这是把误报率压到 5% 以下的关键</w:t>
      </w:r>
    </w:p>
    <w:p w14:paraId="2FDCF5E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.4　前置条件表（可换序由 pre 集合自动表达）</w:t>
      </w:r>
    </w:p>
    <w:p w14:paraId="0AF9C9A9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operations:                # 下表先后关系请按实际装配工艺确认</w:t>
      </w:r>
    </w:p>
    <w:p w14:paraId="1922F809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- {id: op1, name: 放置底座圆盘 P1, pre: [],              eff: [base_present]}</w:t>
      </w:r>
    </w:p>
    <w:p w14:paraId="3A35F919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- {id: op2, name: 安装立柱 P2,     pre: [base_present],   eff: [column_present]}</w:t>
      </w:r>
    </w:p>
    <w:p w14:paraId="1F26A7E5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- {id: op3, name: 套入外圈 P3,     pre: [column_present], eff: [ring_present]}</w:t>
      </w:r>
    </w:p>
    <w:p w14:paraId="1D9442BA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- {id: op4, name: 拧入 8 根辐条 P4, pre: [ring_present],   eff: [spoke_8, spoke_dir_ok]}</w:t>
      </w:r>
    </w:p>
    <w:p w14:paraId="243A9DFF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- {id: op5, name: 压入中心轮毂 P5, pre: [spoke_8],        eff: [hub_present]}</w:t>
      </w:r>
    </w:p>
    <w:p w14:paraId="0444C29B">
      <w:pPr>
        <w:shd w:val="clear" w:color="auto" w:fill="F2F4F7"/>
        <w:spacing w:before="0" w:after="16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- {id: op6, name: 装上顶盖铭牌 P6, pre: [hub_present],     eff: [cap_present]}</w:t>
      </w:r>
    </w:p>
    <w:p w14:paraId="5BB7166A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运行时：Enabled = { op | pre(op) ⊆ Installed }</w:t>
      </w:r>
    </w:p>
    <w:p w14:paraId="2124919A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某 op 的 eff 全部为真且去抖通过 → 判定该操作完成；若 op ∈ Enabled 判</w:t>
      </w:r>
      <w:r>
        <w:rPr>
          <w:rFonts w:ascii="Times New Roman" w:hAnsi="Times New Roman" w:eastAsia="宋体" w:cs="Times New Roman"/>
          <w:b/>
          <w:sz w:val="21"/>
        </w:rPr>
        <w:t>绿</w:t>
      </w:r>
      <w:r>
        <w:rPr>
          <w:rFonts w:ascii="Times New Roman" w:hAnsi="Times New Roman" w:eastAsia="宋体" w:cs="Times New Roman"/>
          <w:b w:val="0"/>
          <w:sz w:val="21"/>
        </w:rPr>
        <w:t>，否则判</w:t>
      </w:r>
      <w:r>
        <w:rPr>
          <w:rFonts w:ascii="Times New Roman" w:hAnsi="Times New Roman" w:eastAsia="宋体" w:cs="Times New Roman"/>
          <w:b/>
          <w:sz w:val="21"/>
        </w:rPr>
        <w:t>红</w:t>
      </w:r>
      <w:r>
        <w:rPr>
          <w:rFonts w:ascii="Times New Roman" w:hAnsi="Times New Roman" w:eastAsia="宋体" w:cs="Times New Roman"/>
          <w:b w:val="0"/>
          <w:sz w:val="21"/>
        </w:rPr>
        <w:t>并明确指出缺哪一条前置</w:t>
      </w:r>
    </w:p>
    <w:p w14:paraId="016AF8D5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可换序</w:t>
      </w:r>
      <w:r>
        <w:rPr>
          <w:rFonts w:ascii="Times New Roman" w:hAnsi="Times New Roman" w:eastAsia="宋体" w:cs="Times New Roman"/>
          <w:b w:val="0"/>
          <w:sz w:val="21"/>
        </w:rPr>
        <w:t>：把两个 op 的 pre 写成同一个即可互换（例如把 op4 的 pre 改成 [column_present]，则 op3 与 op4 顺序任意），</w:t>
      </w:r>
      <w:r>
        <w:rPr>
          <w:rFonts w:ascii="Times New Roman" w:hAnsi="Times New Roman" w:eastAsia="宋体" w:cs="Times New Roman"/>
          <w:b/>
          <w:sz w:val="21"/>
        </w:rPr>
        <w:t>不需要写任何分支代码</w:t>
      </w:r>
    </w:p>
    <w:p w14:paraId="33D316F1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要强制严格顺序，就在后一个 op 的 pre 里加上前一个 op 的 eff</w:t>
      </w:r>
    </w:p>
    <w:p w14:paraId="086F973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4</w:t>
      </w:r>
      <w:r>
        <w:rPr>
          <w:rFonts w:hint="eastAsia" w:ascii="黑体" w:hAnsi="黑体" w:eastAsia="黑体" w:cs="黑体"/>
        </w:rPr>
        <w:t>.5　三级告警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608"/>
        <w:gridCol w:w="5329"/>
      </w:tblGrid>
      <w:tr w14:paraId="7311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DCE6F1"/>
          </w:tcPr>
          <w:p w14:paraId="6C4BDBC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级别</w:t>
            </w:r>
          </w:p>
        </w:tc>
        <w:tc>
          <w:tcPr>
            <w:tcW w:w="2608" w:type="dxa"/>
            <w:shd w:val="clear" w:color="auto" w:fill="DCE6F1"/>
          </w:tcPr>
          <w:p w14:paraId="0E6778A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触发条件</w:t>
            </w:r>
          </w:p>
        </w:tc>
        <w:tc>
          <w:tcPr>
            <w:tcW w:w="5329" w:type="dxa"/>
            <w:shd w:val="clear" w:color="auto" w:fill="DCE6F1"/>
          </w:tcPr>
          <w:p w14:paraId="20A5B97F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显示内容</w:t>
            </w:r>
          </w:p>
        </w:tc>
      </w:tr>
      <w:tr w14:paraId="3F8A5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F838EF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绿</w:t>
            </w:r>
          </w:p>
        </w:tc>
        <w:tc>
          <w:tcPr>
            <w:tcW w:w="2608" w:type="dxa"/>
          </w:tcPr>
          <w:p w14:paraId="6582C4E3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合法转移完成</w:t>
            </w:r>
          </w:p>
        </w:tc>
        <w:tc>
          <w:tcPr>
            <w:tcW w:w="5329" w:type="dxa"/>
          </w:tcPr>
          <w:p w14:paraId="2EBA4E21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✓ 步骤 3/6：外圈已安装（进度条 3/6）</w:t>
            </w:r>
          </w:p>
        </w:tc>
      </w:tr>
      <w:tr w14:paraId="1EDC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C80C6EF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黄</w:t>
            </w:r>
          </w:p>
        </w:tc>
        <w:tc>
          <w:tcPr>
            <w:tcW w:w="2608" w:type="dxa"/>
          </w:tcPr>
          <w:p w14:paraId="7EB84989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等待超时 ／ 数量不足 ／ 方向装反</w:t>
            </w:r>
          </w:p>
        </w:tc>
        <w:tc>
          <w:tcPr>
            <w:tcW w:w="5329" w:type="dxa"/>
          </w:tcPr>
          <w:p w14:paraId="56256958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等待 15 s：请执行「套入外圈 P3」；辐条 7/8，请补装；辐条装反，请将球头端朝外</w:t>
            </w:r>
          </w:p>
        </w:tc>
      </w:tr>
      <w:tr w14:paraId="74D3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ACCEA64">
            <w:pPr>
              <w:spacing w:before="30" w:after="30" w:line="288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红</w:t>
            </w:r>
          </w:p>
        </w:tc>
        <w:tc>
          <w:tcPr>
            <w:tcW w:w="2608" w:type="dxa"/>
          </w:tcPr>
          <w:p w14:paraId="742FF4AE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顺序错误 ／ 取了不该取的零件 ／ 合格性判 NG</w:t>
            </w:r>
          </w:p>
        </w:tc>
        <w:tc>
          <w:tcPr>
            <w:tcW w:w="5329" w:type="dxa"/>
          </w:tcPr>
          <w:p w14:paraId="1121B974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✗ 顺序错误：应先完成 op2（立柱）；✗ 你拿起的是辐条，当前应先装外圈</w:t>
            </w:r>
          </w:p>
        </w:tc>
      </w:tr>
    </w:tbl>
    <w:p w14:paraId="33E3E84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五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</w:rPr>
        <w:t>装配体缺件检查（要求④）</w:t>
      </w:r>
    </w:p>
    <w:p w14:paraId="38A69AE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.1　场景分析与思路</w:t>
      </w:r>
    </w:p>
    <w:p w14:paraId="72EED5C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完整工件只能摆在一个底座位置上 → 位置固定 → 可用固定 ROI</w:t>
      </w:r>
    </w:p>
    <w:p w14:paraId="5BD73468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俯视能看见</w:t>
      </w:r>
      <w:r>
        <w:rPr>
          <w:rFonts w:ascii="Times New Roman" w:hAnsi="Times New Roman" w:eastAsia="宋体" w:cs="Times New Roman"/>
          <w:b w:val="0"/>
          <w:sz w:val="21"/>
        </w:rPr>
        <w:t>：外圈、8 根辐条、中心轮毂、顶盖铭牌</w:t>
      </w:r>
    </w:p>
    <w:p w14:paraId="257C30FC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俯视看不见</w:t>
      </w:r>
      <w:r>
        <w:rPr>
          <w:rFonts w:ascii="Times New Roman" w:hAnsi="Times New Roman" w:eastAsia="宋体" w:cs="Times New Roman"/>
          <w:b w:val="0"/>
          <w:sz w:val="21"/>
        </w:rPr>
        <w:t>：立柱（被轮盘遮住）、底座内部结构</w:t>
      </w:r>
    </w:p>
    <w:p w14:paraId="672CF474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 xml:space="preserve">因此：可见件用 </w:t>
      </w:r>
      <w:r>
        <w:rPr>
          <w:rFonts w:ascii="Times New Roman" w:hAnsi="Times New Roman" w:eastAsia="宋体" w:cs="Times New Roman"/>
          <w:b/>
          <w:sz w:val="21"/>
        </w:rPr>
        <w:t>2D 覆盖率与计数</w:t>
      </w:r>
      <w:r>
        <w:rPr>
          <w:rFonts w:ascii="Times New Roman" w:hAnsi="Times New Roman" w:eastAsia="宋体" w:cs="Times New Roman"/>
          <w:b w:val="0"/>
          <w:sz w:val="21"/>
        </w:rPr>
        <w:t xml:space="preserve">；立柱用 </w:t>
      </w:r>
      <w:r>
        <w:rPr>
          <w:rFonts w:ascii="Times New Roman" w:hAnsi="Times New Roman" w:eastAsia="宋体" w:cs="Times New Roman"/>
          <w:b/>
          <w:sz w:val="21"/>
        </w:rPr>
        <w:t>轮盘高度</w:t>
      </w:r>
      <w:r>
        <w:rPr>
          <w:rFonts w:ascii="Times New Roman" w:hAnsi="Times New Roman" w:eastAsia="宋体" w:cs="Times New Roman"/>
          <w:b w:val="0"/>
          <w:sz w:val="21"/>
        </w:rPr>
        <w:t xml:space="preserve"> 判——这正是双目在本作业里唯一不可替代的用途</w:t>
      </w:r>
    </w:p>
    <w:p w14:paraId="481E7EF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.2　装配位标定</w:t>
      </w:r>
    </w:p>
    <w:p w14:paraId="2729F7DD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1.  </w:t>
      </w:r>
      <w:r>
        <w:rPr>
          <w:rFonts w:ascii="Times New Roman" w:hAnsi="Times New Roman" w:eastAsia="宋体" w:cs="Times New Roman"/>
          <w:b w:val="0"/>
          <w:sz w:val="21"/>
        </w:rPr>
        <w:t>用底座圆盘轮廓拟合圆，得到装配位圆心 (u₀, v₀) 与半径 R</w:t>
      </w:r>
    </w:p>
    <w:p w14:paraId="638B2087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2.  </w:t>
      </w:r>
      <w:r>
        <w:rPr>
          <w:rFonts w:ascii="Times New Roman" w:hAnsi="Times New Roman" w:eastAsia="宋体" w:cs="Times New Roman"/>
          <w:b w:val="0"/>
          <w:sz w:val="21"/>
        </w:rPr>
        <w:t>摆一个</w:t>
      </w:r>
      <w:r>
        <w:rPr>
          <w:rFonts w:ascii="Times New Roman" w:hAnsi="Times New Roman" w:eastAsia="宋体" w:cs="Times New Roman"/>
          <w:b/>
          <w:sz w:val="21"/>
        </w:rPr>
        <w:t>完整装配体</w:t>
      </w:r>
      <w:r>
        <w:rPr>
          <w:rFonts w:ascii="Times New Roman" w:hAnsi="Times New Roman" w:eastAsia="宋体" w:cs="Times New Roman"/>
          <w:b w:val="0"/>
          <w:sz w:val="21"/>
        </w:rPr>
        <w:t>，保存基线：外圈环带覆盖率、辐条角度覆盖率曲线（应有 8 个峰）、中心区覆盖率与内孔数、</w:t>
      </w:r>
      <w:r>
        <w:rPr>
          <w:rFonts w:ascii="Times New Roman" w:hAnsi="Times New Roman" w:eastAsia="宋体" w:cs="Times New Roman"/>
          <w:b/>
          <w:sz w:val="21"/>
        </w:rPr>
        <w:t>轮盘高度基线 h_wheel_ref</w:t>
      </w:r>
    </w:p>
    <w:p w14:paraId="7CAA29CF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3.  </w:t>
      </w:r>
      <w:r>
        <w:rPr>
          <w:rFonts w:ascii="Times New Roman" w:hAnsi="Times New Roman" w:eastAsia="宋体" w:cs="Times New Roman"/>
          <w:b w:val="0"/>
          <w:sz w:val="21"/>
        </w:rPr>
        <w:t>每次开机自检复测一次基线，偏差超阈即提示「需重新标定」</w:t>
      </w:r>
    </w:p>
    <w:p w14:paraId="086BEEE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.3　检查算法</w:t>
      </w:r>
    </w:p>
    <w:p w14:paraId="03364CC8">
      <w:pPr>
        <w:shd w:val="clear" w:color="auto" w:fill="F2F4F7"/>
        <w:spacing w:before="16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触发：手离开画面连续 ≥ 5 帧（避免手套遮挡污染）</w:t>
      </w:r>
    </w:p>
    <w:p w14:paraId="2C798971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</w:t>
      </w:r>
    </w:p>
    <w:p w14:paraId="094042E7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A. 黄铜分割 → 前景掩膜</w:t>
      </w:r>
    </w:p>
    <w:p w14:paraId="2EEFDFB1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B. 以 (u0, v0) 为极点做极坐标展开（polar unwrap）到环形带：</w:t>
      </w:r>
    </w:p>
    <w:p w14:paraId="6D8BB4DB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外圈环带 r ∈ [R1, R2]：覆盖率 &lt; 基线 − 30%  → 「外圈未装」</w:t>
      </w:r>
    </w:p>
    <w:p w14:paraId="0985B2BA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辐条环带 r ∈ [R3, R4]：沿角度方向统计覆盖率 → 数连通峰个数 n</w:t>
      </w:r>
    </w:p>
    <w:p w14:paraId="44225055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     n &lt; 8 → 指出峰缺失的角度位置 → 「缺 8−n 根辐条」</w:t>
      </w:r>
    </w:p>
    <w:p w14:paraId="2F9CD0F5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C. 中心区 r &lt; R5：</w:t>
      </w:r>
    </w:p>
    <w:p w14:paraId="4210A51D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覆盖率达标 且 内孔数 = 0                → 轮毂 + 顶盖齐全</w:t>
      </w:r>
    </w:p>
    <w:p w14:paraId="4BDC8EBE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内孔数 ≥ 1（露出轴承孔）且无实心覆盖     → 「缺顶盖铭牌」</w:t>
      </w:r>
    </w:p>
    <w:p w14:paraId="7E46F714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中心无黑色低饱和圆环（轴承密封圈）        → 「缺中心轮毂」</w:t>
      </w:r>
    </w:p>
    <w:p w14:paraId="43013B76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D. 立柱（俯视不可见，用深度）：</w:t>
      </w:r>
    </w:p>
    <w:p w14:paraId="078284DD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h_wheel = median(Z_plane − depth)，在轮盘区域取中值</w:t>
      </w:r>
    </w:p>
    <w:p w14:paraId="128B15D7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|h_wheel − h_wheel_ref| &gt; 10 mm → 「立柱未装 / 未压到位」</w:t>
      </w:r>
    </w:p>
    <w:p w14:paraId="0658CB7C">
      <w:pPr>
        <w:shd w:val="clear" w:color="auto" w:fill="F2F4F7"/>
        <w:spacing w:before="0" w:after="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 xml:space="preserve">   （深度 1 Hz 即可：640×480 一次约 80 ms，完全不影响实时帧率）</w:t>
      </w:r>
    </w:p>
    <w:p w14:paraId="1C77A1D9">
      <w:pPr>
        <w:shd w:val="clear" w:color="auto" w:fill="F2F4F7"/>
        <w:spacing w:before="0" w:after="160" w:line="269" w:lineRule="auto"/>
        <w:ind w:left="283" w:right="283" w:firstLine="0"/>
      </w:pPr>
      <w:r>
        <w:rPr>
          <w:rFonts w:ascii="Consolas" w:hAnsi="Consolas" w:eastAsia="宋体" w:cs="Consolas"/>
          <w:b w:val="0"/>
          <w:sz w:val="18"/>
        </w:rPr>
        <w:t>E. 汇总 → 缺失清单 ＋ 在主画面上用红圈指出缺失位置</w:t>
      </w:r>
    </w:p>
    <w:p w14:paraId="4574D3F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.4　判据汇总</w:t>
      </w:r>
    </w:p>
    <w:tbl>
      <w:tblPr>
        <w:tblStyle w:val="33"/>
        <w:tblW w:w="89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268"/>
        <w:gridCol w:w="2494"/>
        <w:gridCol w:w="2948"/>
      </w:tblGrid>
      <w:tr w14:paraId="30C8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47" w:type="dxa"/>
            <w:shd w:val="clear" w:color="auto" w:fill="DCE6F1"/>
          </w:tcPr>
          <w:p w14:paraId="5C97FDCE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检查项</w:t>
            </w:r>
          </w:p>
        </w:tc>
        <w:tc>
          <w:tcPr>
            <w:tcW w:w="2268" w:type="dxa"/>
            <w:shd w:val="clear" w:color="auto" w:fill="DCE6F1"/>
          </w:tcPr>
          <w:p w14:paraId="2066C712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方法</w:t>
            </w:r>
          </w:p>
        </w:tc>
        <w:tc>
          <w:tcPr>
            <w:tcW w:w="2494" w:type="dxa"/>
            <w:shd w:val="clear" w:color="auto" w:fill="DCE6F1"/>
          </w:tcPr>
          <w:p w14:paraId="613BC97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判据</w:t>
            </w:r>
          </w:p>
        </w:tc>
        <w:tc>
          <w:tcPr>
            <w:tcW w:w="2948" w:type="dxa"/>
            <w:shd w:val="clear" w:color="auto" w:fill="DCE6F1"/>
          </w:tcPr>
          <w:p w14:paraId="08A0B09C">
            <w:pPr>
              <w:spacing w:before="30" w:after="30" w:line="276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能判出的缺件</w:t>
            </w:r>
          </w:p>
        </w:tc>
      </w:tr>
      <w:tr w14:paraId="7BC2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1247" w:type="dxa"/>
          </w:tcPr>
          <w:p w14:paraId="4734E677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外圈</w:t>
            </w:r>
          </w:p>
        </w:tc>
        <w:tc>
          <w:tcPr>
            <w:tcW w:w="2268" w:type="dxa"/>
          </w:tcPr>
          <w:p w14:paraId="568F8502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外圈环带金属覆盖率</w:t>
            </w:r>
          </w:p>
        </w:tc>
        <w:tc>
          <w:tcPr>
            <w:tcW w:w="2494" w:type="dxa"/>
          </w:tcPr>
          <w:p w14:paraId="4B7ECA63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覆盖率 &lt; 基线 − 30%</w:t>
            </w:r>
          </w:p>
        </w:tc>
        <w:tc>
          <w:tcPr>
            <w:tcW w:w="2948" w:type="dxa"/>
          </w:tcPr>
          <w:p w14:paraId="7E976DC9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外圈未装</w:t>
            </w:r>
          </w:p>
        </w:tc>
      </w:tr>
      <w:tr w14:paraId="70D3C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6FE4CA7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辐条数量</w:t>
            </w:r>
          </w:p>
        </w:tc>
        <w:tc>
          <w:tcPr>
            <w:tcW w:w="2268" w:type="dxa"/>
          </w:tcPr>
          <w:p w14:paraId="314DE43D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极坐标展开后数覆盖率峰个数</w:t>
            </w:r>
          </w:p>
        </w:tc>
        <w:tc>
          <w:tcPr>
            <w:tcW w:w="2494" w:type="dxa"/>
          </w:tcPr>
          <w:p w14:paraId="48B963FF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峰数 &lt; 8</w:t>
            </w:r>
          </w:p>
        </w:tc>
        <w:tc>
          <w:tcPr>
            <w:tcW w:w="2948" w:type="dxa"/>
          </w:tcPr>
          <w:p w14:paraId="02D4D07A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缺 1–n 根辐条（</w:t>
            </w:r>
            <w:r>
              <w:rPr>
                <w:rFonts w:ascii="Times New Roman" w:hAnsi="Times New Roman" w:eastAsia="宋体" w:cs="Times New Roman"/>
                <w:b/>
                <w:sz w:val="19"/>
              </w:rPr>
              <w:t>并指出缺失角度位置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）</w:t>
            </w:r>
          </w:p>
        </w:tc>
      </w:tr>
      <w:tr w14:paraId="1010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1B0ECA6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中心轮毂</w:t>
            </w:r>
          </w:p>
        </w:tc>
        <w:tc>
          <w:tcPr>
            <w:tcW w:w="2268" w:type="dxa"/>
          </w:tcPr>
          <w:p w14:paraId="6FEA23BC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中心区覆盖率 ＋ 黑色密封圈</w:t>
            </w:r>
          </w:p>
        </w:tc>
        <w:tc>
          <w:tcPr>
            <w:tcW w:w="2494" w:type="dxa"/>
          </w:tcPr>
          <w:p w14:paraId="43A5F019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覆盖率 &lt; 基线 − 20%</w:t>
            </w:r>
          </w:p>
        </w:tc>
        <w:tc>
          <w:tcPr>
            <w:tcW w:w="2948" w:type="dxa"/>
          </w:tcPr>
          <w:p w14:paraId="1C4AAD16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轮毂未装</w:t>
            </w:r>
          </w:p>
        </w:tc>
      </w:tr>
      <w:tr w14:paraId="253E1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627D376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顶盖铭牌</w:t>
            </w:r>
          </w:p>
        </w:tc>
        <w:tc>
          <w:tcPr>
            <w:tcW w:w="2268" w:type="dxa"/>
          </w:tcPr>
          <w:p w14:paraId="70A94293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中心区内孔数与实心覆盖</w:t>
            </w:r>
          </w:p>
        </w:tc>
        <w:tc>
          <w:tcPr>
            <w:tcW w:w="2494" w:type="dxa"/>
          </w:tcPr>
          <w:p w14:paraId="665A0E95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内孔数 ≥ 1 且无实心覆盖</w:t>
            </w:r>
          </w:p>
        </w:tc>
        <w:tc>
          <w:tcPr>
            <w:tcW w:w="2948" w:type="dxa"/>
          </w:tcPr>
          <w:p w14:paraId="1547D62F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顶盖未装</w:t>
            </w:r>
          </w:p>
        </w:tc>
      </w:tr>
      <w:tr w14:paraId="3FC3E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3A63CE0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立柱</w:t>
            </w:r>
          </w:p>
        </w:tc>
        <w:tc>
          <w:tcPr>
            <w:tcW w:w="2268" w:type="dxa"/>
          </w:tcPr>
          <w:p w14:paraId="316AB6BC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轮盘高度（双目深度）</w:t>
            </w:r>
          </w:p>
        </w:tc>
        <w:tc>
          <w:tcPr>
            <w:tcW w:w="2494" w:type="dxa"/>
          </w:tcPr>
          <w:p w14:paraId="0CDE6DBA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|Δh| &gt; 10 mm</w:t>
            </w:r>
          </w:p>
        </w:tc>
        <w:tc>
          <w:tcPr>
            <w:tcW w:w="2948" w:type="dxa"/>
          </w:tcPr>
          <w:p w14:paraId="6DA25F90">
            <w:pPr>
              <w:spacing w:before="30" w:after="30" w:line="288" w:lineRule="auto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立柱未装 / 未压到位</w:t>
            </w:r>
          </w:p>
        </w:tc>
      </w:tr>
    </w:tbl>
    <w:p w14:paraId="261E985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5</w:t>
      </w:r>
      <w:r>
        <w:rPr>
          <w:rFonts w:hint="eastAsia" w:ascii="黑体" w:hAnsi="黑体" w:eastAsia="黑体" w:cs="黑体"/>
        </w:rPr>
        <w:t>.5　判定、输出与能力边界</w:t>
      </w:r>
    </w:p>
    <w:p w14:paraId="6FCB4BA3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三级判定：</w:t>
      </w:r>
      <w:r>
        <w:rPr>
          <w:rFonts w:ascii="Times New Roman" w:hAnsi="Times New Roman" w:eastAsia="宋体" w:cs="Times New Roman"/>
          <w:b/>
          <w:sz w:val="21"/>
        </w:rPr>
        <w:t>齐全</w:t>
      </w:r>
      <w:r>
        <w:rPr>
          <w:rFonts w:ascii="Times New Roman" w:hAnsi="Times New Roman" w:eastAsia="宋体" w:cs="Times New Roman"/>
          <w:b w:val="0"/>
          <w:sz w:val="21"/>
        </w:rPr>
        <w:t xml:space="preserve"> ／ </w:t>
      </w:r>
      <w:r>
        <w:rPr>
          <w:rFonts w:ascii="Times New Roman" w:hAnsi="Times New Roman" w:eastAsia="宋体" w:cs="Times New Roman"/>
          <w:b/>
          <w:sz w:val="21"/>
        </w:rPr>
        <w:t>缺失</w:t>
      </w:r>
      <w:r>
        <w:rPr>
          <w:rFonts w:ascii="Times New Roman" w:hAnsi="Times New Roman" w:eastAsia="宋体" w:cs="Times New Roman"/>
          <w:b w:val="0"/>
          <w:sz w:val="21"/>
        </w:rPr>
        <w:t xml:space="preserve">（列出缺失项与位置） ／ </w:t>
      </w:r>
      <w:r>
        <w:rPr>
          <w:rFonts w:ascii="Times New Roman" w:hAnsi="Times New Roman" w:eastAsia="宋体" w:cs="Times New Roman"/>
          <w:b/>
          <w:sz w:val="21"/>
        </w:rPr>
        <w:t>存疑</w:t>
      </w:r>
      <w:r>
        <w:rPr>
          <w:rFonts w:ascii="Times New Roman" w:hAnsi="Times New Roman" w:eastAsia="宋体" w:cs="Times New Roman"/>
          <w:b w:val="0"/>
          <w:sz w:val="21"/>
        </w:rPr>
        <w:t>（指标落在阈值带内）</w:t>
      </w:r>
    </w:p>
    <w:p w14:paraId="5E022876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 w:val="0"/>
          <w:sz w:val="21"/>
        </w:rPr>
        <w:t>输出：缺失清单 ＋ 红圈标注 ＋ 报告（工件编号、时间戳、缺失项、当帧截图）</w:t>
      </w:r>
    </w:p>
    <w:p w14:paraId="691088EB">
      <w:pPr>
        <w:spacing w:before="0" w:after="60" w:line="307" w:lineRule="auto"/>
        <w:ind w:left="539" w:right="0" w:hanging="255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·  </w:t>
      </w:r>
      <w:r>
        <w:rPr>
          <w:rFonts w:ascii="Times New Roman" w:hAnsi="Times New Roman" w:eastAsia="宋体" w:cs="Times New Roman"/>
          <w:b/>
          <w:sz w:val="21"/>
        </w:rPr>
        <w:t>能力边界</w:t>
      </w:r>
      <w:r>
        <w:rPr>
          <w:rFonts w:ascii="Times New Roman" w:hAnsi="Times New Roman" w:eastAsia="宋体" w:cs="Times New Roman"/>
          <w:b w:val="0"/>
          <w:sz w:val="21"/>
        </w:rPr>
        <w:t>：底座本身与工件内部结构无法检查。若需检查底座，只能改成斜俯视（15°–25°），或增加一次「装配前」的底座检查</w:t>
      </w:r>
    </w:p>
    <w:p w14:paraId="69D86AC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六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</w:rPr>
        <w:t>结语</w:t>
      </w:r>
    </w:p>
    <w:p w14:paraId="598ACB5A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位置即身份</w:t>
      </w:r>
      <w:r>
        <w:rPr>
          <w:rFonts w:ascii="Times New Roman" w:hAnsi="Times New Roman" w:eastAsia="宋体" w:cs="Times New Roman"/>
          <w:b w:val="0"/>
          <w:sz w:val="21"/>
        </w:rPr>
        <w:t>：料位与装配位固定，缺件判定退化为「该位金属覆盖率」；</w:t>
      </w:r>
    </w:p>
    <w:p w14:paraId="0DC99103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两条 HSV 阈值撑起大半个系统</w:t>
      </w:r>
      <w:r>
        <w:rPr>
          <w:rFonts w:ascii="Times New Roman" w:hAnsi="Times New Roman" w:eastAsia="宋体" w:cs="Times New Roman"/>
          <w:b w:val="0"/>
          <w:sz w:val="21"/>
        </w:rPr>
        <w:t>：饱和度分离黄铜与白底，色相分离蓝手套；</w:t>
      </w:r>
    </w:p>
    <w:p w14:paraId="0137E10B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3.  </w:t>
      </w:r>
      <w:r>
        <w:rPr>
          <w:rFonts w:ascii="Times New Roman" w:hAnsi="Times New Roman" w:eastAsia="宋体" w:cs="Times New Roman"/>
          <w:b/>
          <w:sz w:val="21"/>
        </w:rPr>
        <w:t>深度只保留一个用途</w:t>
      </w:r>
      <w:r>
        <w:rPr>
          <w:rFonts w:ascii="Times New Roman" w:hAnsi="Times New Roman" w:eastAsia="宋体" w:cs="Times New Roman"/>
          <w:b w:val="0"/>
          <w:sz w:val="21"/>
        </w:rPr>
        <w:t>：判俯视看不见的立柱（轮盘高度）；</w:t>
      </w:r>
      <w:bookmarkStart w:id="0" w:name="_GoBack"/>
      <w:bookmarkEnd w:id="0"/>
    </w:p>
    <w:p w14:paraId="799B6021">
      <w:pPr>
        <w:spacing w:before="0" w:after="80" w:line="307" w:lineRule="auto"/>
        <w:ind w:left="454" w:right="0" w:hanging="454"/>
      </w:pPr>
      <w:r>
        <w:rPr>
          <w:rFonts w:ascii="Times New Roman" w:hAnsi="Times New Roman" w:eastAsia="宋体" w:cs="Times New Roman"/>
          <w:b/>
          <w:color w:val="1F3B63"/>
          <w:sz w:val="21"/>
        </w:rPr>
        <w:t xml:space="preserve">4.  </w:t>
      </w:r>
      <w:r>
        <w:rPr>
          <w:rFonts w:ascii="Times New Roman" w:hAnsi="Times New Roman" w:eastAsia="宋体" w:cs="Times New Roman"/>
          <w:b/>
          <w:sz w:val="21"/>
        </w:rPr>
        <w:t>解决光照与白平衡</w:t>
      </w:r>
      <w:r>
        <w:rPr>
          <w:rFonts w:ascii="Times New Roman" w:hAnsi="Times New Roman" w:eastAsia="宋体" w:cs="Times New Roman"/>
          <w:b w:val="0"/>
          <w:sz w:val="21"/>
        </w:rPr>
        <w:t>。</w:t>
      </w:r>
    </w:p>
    <w:p w14:paraId="25BB0562">
      <w:pPr>
        <w:spacing w:before="0" w:after="100" w:line="307" w:lineRule="auto"/>
        <w:ind w:left="0" w:right="0" w:firstLine="0"/>
        <w:jc w:val="center"/>
      </w:pPr>
    </w:p>
    <w:sectPr>
      <w:footerReference r:id="rId5" w:type="default"/>
      <w:pgSz w:w="11906" w:h="16838"/>
      <w:pgMar w:top="1247" w:right="1247" w:bottom="1134" w:left="1247" w:header="720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A6F56">
    <w:pPr>
      <w:pStyle w:val="24"/>
      <w:spacing w:before="0" w:after="0"/>
      <w:jc w:val="center"/>
    </w:pPr>
    <w:r>
      <w:rPr>
        <w:rFonts w:ascii="Times New Roman" w:hAnsi="Times New Roman" w:eastAsia="宋体" w:cs="Times New Roman"/>
        <w:b w:val="0"/>
        <w:color w:val="595959"/>
        <w:sz w:val="18"/>
      </w:rPr>
      <w:t xml:space="preserve">第 </w:t>
    </w:r>
    <w:r>
      <w:rPr>
        <w:rFonts w:ascii="Times New Roman" w:hAnsi="Times New Roman" w:eastAsia="宋体" w:cs="Times New Roman"/>
        <w:b w:val="0"/>
        <w:color w:val="595959"/>
        <w:sz w:val="18"/>
      </w:rPr>
      <w:fldChar w:fldCharType="begin"/>
    </w:r>
    <w:r>
      <w:rPr>
        <w:rFonts w:ascii="Times New Roman" w:hAnsi="Times New Roman" w:eastAsia="宋体" w:cs="Times New Roman"/>
        <w:b w:val="0"/>
        <w:color w:val="595959"/>
        <w:sz w:val="18"/>
      </w:rPr>
      <w:instrText xml:space="preserve">PAGE</w:instrText>
    </w:r>
    <w:r>
      <w:rPr>
        <w:rFonts w:ascii="Times New Roman" w:hAnsi="Times New Roman" w:eastAsia="宋体" w:cs="Times New Roman"/>
        <w:b w:val="0"/>
        <w:color w:val="595959"/>
        <w:sz w:val="18"/>
      </w:rPr>
      <w:fldChar w:fldCharType="end"/>
    </w:r>
    <w:r>
      <w:rPr>
        <w:rFonts w:ascii="Times New Roman" w:hAnsi="Times New Roman" w:eastAsia="宋体" w:cs="Times New Roman"/>
        <w:b w:val="0"/>
        <w:color w:val="595959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F4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288" w:lineRule="auto"/>
      <w:outlineLvl w:val="0"/>
    </w:pPr>
    <w:rPr>
      <w:rFonts w:asciiTheme="majorHAnsi" w:hAnsiTheme="majorHAnsi" w:eastAsiaTheme="majorEastAsia" w:cstheme="majorBidi"/>
      <w:b/>
      <w:bCs/>
      <w:color w:val="1F3B63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 w:line="288" w:lineRule="auto"/>
      <w:outlineLvl w:val="1"/>
    </w:pPr>
    <w:rPr>
      <w:rFonts w:asciiTheme="majorHAnsi" w:hAnsiTheme="majorHAnsi" w:eastAsiaTheme="majorEastAsia" w:cstheme="majorBidi"/>
      <w:b/>
      <w:bCs/>
      <w:color w:val="1F3B63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1F3B63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6460</Words>
  <Characters>7800</Characters>
  <Lines>0</Lines>
  <Paragraphs>0</Paragraphs>
  <TotalTime>24</TotalTime>
  <ScaleCrop>false</ScaleCrop>
  <LinksUpToDate>false</LinksUpToDate>
  <CharactersWithSpaces>9292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WPS_1643375889</cp:lastModifiedBy>
  <dcterms:modified xsi:type="dcterms:W3CDTF">2026-10-07T13:17:16Z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eyJoZGlkIjoiZThiNjU2NTgyNTBkZjY1MmJlZWJmNWE3NjI4NWNlNzUiLCJ1c2VySWQiOiIxMzI1NjkxODg4In0=</vt:lpwstr>
  </property>
  <property fmtid="{D5CDD505-2E9C-101B-9397-08002B2CF9AE}" pid="3" name="KSOProductBuildVer">
    <vt:lpwstr>2052-12.1.0.24034</vt:lpwstr>
  </property>
  <property fmtid="{D5CDD505-2E9C-101B-9397-08002B2CF9AE}" pid="4" name="ICV">
    <vt:lpwstr>12F848D26EA54A5EA548E5DEB4DC2179_12</vt:lpwstr>
  </property>
</Properties>
</file>