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4.png" ContentType="image/png"/>
  <Override PartName="/word/media/rId23.png" ContentType="image/png"/>
  <Override PartName="/word/media/rId26.png" ContentType="image/png"/>
  <Override PartName="/word/media/rId28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8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Л.2.</w:t>
      </w:r>
      <w:r>
        <w:t xml:space="preserve"> </w:t>
      </w: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Греков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Сергеевич</w:t>
      </w:r>
    </w:p>
    <w:p>
      <w:pPr>
        <w:pStyle w:val="Date"/>
      </w:pP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47" w:name="ход-работы"/>
    <w:p>
      <w:pPr>
        <w:pStyle w:val="Heading1"/>
      </w:pPr>
      <w:r>
        <w:t xml:space="preserve">Ход работы</w:t>
      </w:r>
    </w:p>
    <w:bookmarkStart w:id="25" w:name="новый-пользователь-и-вход"/>
    <w:p>
      <w:pPr>
        <w:pStyle w:val="Heading2"/>
      </w:pPr>
      <w:r>
        <w:t xml:space="preserve">Новый пользователь и вход</w:t>
      </w:r>
    </w:p>
    <w:p>
      <w:pPr>
        <w:numPr>
          <w:ilvl w:val="0"/>
          <w:numId w:val="1001"/>
        </w:numPr>
      </w:pPr>
      <w:r>
        <w:t xml:space="preserve">В установленной при выполнении предыдущей лабораторной работы операционной системе создали учётную запись пользователя guest.</w:t>
      </w:r>
    </w:p>
    <w:p>
      <w:pPr>
        <w:numPr>
          <w:ilvl w:val="0"/>
          <w:numId w:val="1001"/>
        </w:numPr>
      </w:pPr>
      <w:r>
        <w:t xml:space="preserve">Задали пароль для пользователя guest</w:t>
      </w:r>
    </w:p>
    <w:p>
      <w:pPr>
        <w:numPr>
          <w:ilvl w:val="0"/>
          <w:numId w:val="1001"/>
        </w:numPr>
      </w:pPr>
      <w:r>
        <w:t xml:space="preserve">Вошли в систему от имени пользователя guest.</w:t>
      </w:r>
    </w:p>
    <w:p>
      <w:pPr>
        <w:numPr>
          <w:ilvl w:val="0"/>
          <w:numId w:val="1001"/>
        </w:numPr>
      </w:pPr>
      <w:r>
        <w:t xml:space="preserve">Определили директорию, в которой находились, командой pwd. Она совпадала с приглашением командной строки. Определили домашнюю директорию и перешли в нее.</w:t>
      </w:r>
    </w:p>
    <w:p>
      <w:pPr>
        <w:pStyle w:val="CaptionedFigure"/>
      </w:pPr>
      <w:bookmarkStart w:id="22" w:name="fig:001"/>
      <w:r>
        <w:drawing>
          <wp:inline>
            <wp:extent cx="4856309" cy="3319502"/>
            <wp:effectExtent b="0" l="0" r="0" t="0"/>
            <wp:docPr descr="Figure 1: Пункты лабораторной 1-2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09" cy="331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Пункты лабораторной 1-2</w:t>
      </w:r>
    </w:p>
    <w:p>
      <w:pPr>
        <w:pStyle w:val="CaptionedFigure"/>
      </w:pPr>
      <w:bookmarkStart w:id="24" w:name="fig:002"/>
      <w:r>
        <w:drawing>
          <wp:inline>
            <wp:extent cx="5232826" cy="3888121"/>
            <wp:effectExtent b="0" l="0" r="0" t="0"/>
            <wp:docPr descr="Figure 2: Пункт лабораторной 3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26" cy="3888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Пункт лабораторной 3</w:t>
      </w:r>
    </w:p>
    <w:bookmarkEnd w:id="25"/>
    <w:bookmarkStart w:id="30" w:name="информация-о-новом-пользователе"/>
    <w:p>
      <w:pPr>
        <w:pStyle w:val="Heading2"/>
      </w:pPr>
      <w:r>
        <w:t xml:space="preserve">Информация о новом пользователе</w:t>
      </w:r>
    </w:p>
    <w:p>
      <w:pPr>
        <w:numPr>
          <w:ilvl w:val="0"/>
          <w:numId w:val="1002"/>
        </w:numPr>
      </w:pPr>
      <w:r>
        <w:t xml:space="preserve">Уточнили имя пользователя командой whoami.</w:t>
      </w:r>
    </w:p>
    <w:p>
      <w:pPr>
        <w:numPr>
          <w:ilvl w:val="0"/>
          <w:numId w:val="1002"/>
        </w:numPr>
      </w:pPr>
      <w:r>
        <w:t xml:space="preserve">Уточнили имя пользователя, его группу, а также группы, куда входит пользователь, командой id. Вывод id совпал с выводом команды groups.</w:t>
      </w:r>
    </w:p>
    <w:p>
      <w:pPr>
        <w:numPr>
          <w:ilvl w:val="0"/>
          <w:numId w:val="1002"/>
        </w:numPr>
      </w:pPr>
      <w:r>
        <w:t xml:space="preserve">Сравнили полученную информацию об имени пользователя с данными, выводимыми в приглашении командной строки, они идентичны.</w:t>
      </w:r>
    </w:p>
    <w:p>
      <w:pPr>
        <w:numPr>
          <w:ilvl w:val="0"/>
          <w:numId w:val="1002"/>
        </w:numPr>
      </w:pPr>
      <w:r>
        <w:t xml:space="preserve">Просмотрели файл /etc/passwd командой cat /etc/passwd и командой cat /etc/passwd | grep guest.</w:t>
      </w:r>
    </w:p>
    <w:p>
      <w:pPr>
        <w:pStyle w:val="CaptionedFigure"/>
      </w:pPr>
      <w:bookmarkStart w:id="27" w:name="fig:003"/>
      <w:r>
        <w:drawing>
          <wp:inline>
            <wp:extent cx="5263563" cy="3957277"/>
            <wp:effectExtent b="0" l="0" r="0" t="0"/>
            <wp:docPr descr="Figure 3: Пункт лабораторной 4-7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63" cy="3957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Пункт лабораторной 4-7</w:t>
      </w:r>
    </w:p>
    <w:p>
      <w:pPr>
        <w:pStyle w:val="CaptionedFigure"/>
      </w:pPr>
      <w:bookmarkStart w:id="29" w:name="fig:004"/>
      <w:r>
        <w:drawing>
          <wp:inline>
            <wp:extent cx="4848625" cy="3319502"/>
            <wp:effectExtent b="0" l="0" r="0" t="0"/>
            <wp:docPr descr="Figure 4: Пункт лабораторной 8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25" cy="331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Пункт лабораторной 8</w:t>
      </w:r>
    </w:p>
    <w:bookmarkEnd w:id="30"/>
    <w:bookmarkStart w:id="35" w:name="существующие-директории-и-их-атрибуты"/>
    <w:p>
      <w:pPr>
        <w:pStyle w:val="Heading2"/>
      </w:pPr>
      <w:r>
        <w:t xml:space="preserve">Существующие директории и их атрибуты</w:t>
      </w:r>
    </w:p>
    <w:p>
      <w:pPr>
        <w:numPr>
          <w:ilvl w:val="0"/>
          <w:numId w:val="1003"/>
        </w:numPr>
      </w:pPr>
      <w:r>
        <w:t xml:space="preserve">Определили существующие в системе директории командой ls -l /home/. Увидели, какие права доступа установлены на директориях.</w:t>
      </w:r>
    </w:p>
    <w:p>
      <w:pPr>
        <w:numPr>
          <w:ilvl w:val="0"/>
          <w:numId w:val="1003"/>
        </w:numPr>
      </w:pPr>
      <w:r>
        <w:t xml:space="preserve">Проверили, какие расширенные атрибуты установлены на поддиректориях, находящихся в директории /home, командой: lsattr /home</w:t>
      </w:r>
    </w:p>
    <w:p>
      <w:pPr>
        <w:pStyle w:val="FirstParagraph"/>
      </w:pPr>
      <w:r>
        <w:t xml:space="preserve">Удалось увидеть расширенные атрибуты директории нашего пользователя, но не других пользователей.</w:t>
      </w:r>
    </w:p>
    <w:p>
      <w:pPr>
        <w:numPr>
          <w:ilvl w:val="0"/>
          <w:numId w:val="1004"/>
        </w:numPr>
        <w:pStyle w:val="Compact"/>
      </w:pPr>
      <w:r>
        <w:t xml:space="preserve">Создали в домашней директории поддиректорию dir1 командой mkdir dir1. Определили командами ls -l и lsattr, какие права доступа и расширенные атрибуты были выставлены на директорию dir1.</w:t>
      </w:r>
    </w:p>
    <w:p>
      <w:pPr>
        <w:pStyle w:val="CaptionedFigure"/>
      </w:pPr>
      <w:bookmarkStart w:id="32" w:name="fig:005"/>
      <w:r>
        <w:drawing>
          <wp:inline>
            <wp:extent cx="4879361" cy="3342554"/>
            <wp:effectExtent b="0" l="0" r="0" t="0"/>
            <wp:docPr descr="Figure 5: Пункты лабораторной 9-10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61" cy="334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Пункты лабораторной 9-10</w:t>
      </w:r>
    </w:p>
    <w:p>
      <w:pPr>
        <w:pStyle w:val="CaptionedFigure"/>
      </w:pPr>
      <w:bookmarkStart w:id="34" w:name="fig:006"/>
      <w:r>
        <w:drawing>
          <wp:inline>
            <wp:extent cx="4879361" cy="3342554"/>
            <wp:effectExtent b="0" l="0" r="0" t="0"/>
            <wp:docPr descr="Figure 6: Пункт лабораторной 11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61" cy="334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Пункт лабораторной 11</w:t>
      </w:r>
    </w:p>
    <w:bookmarkEnd w:id="35"/>
    <w:bookmarkStart w:id="40" w:name="изменение-атрибутов-и-проверка"/>
    <w:p>
      <w:pPr>
        <w:pStyle w:val="Heading2"/>
      </w:pPr>
      <w:r>
        <w:t xml:space="preserve">Изменение атрибутов и проверка</w:t>
      </w:r>
    </w:p>
    <w:p>
      <w:pPr>
        <w:numPr>
          <w:ilvl w:val="0"/>
          <w:numId w:val="1005"/>
        </w:numPr>
      </w:pPr>
      <w:r>
        <w:t xml:space="preserve">Сняли с директории dir1 все атрибуты командой chmod 000 dir1 и проверили с её помощью правильность выполнения команды ls -l</w:t>
      </w:r>
    </w:p>
    <w:p>
      <w:pPr>
        <w:numPr>
          <w:ilvl w:val="0"/>
          <w:numId w:val="1005"/>
        </w:numPr>
      </w:pPr>
      <w:r>
        <w:t xml:space="preserve">Попытались создать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 и получили отказ, так как не имеем на это действие прав доступа. Сообщение об ошибке дало подтверждение того, что файл не был создан, проверили это командой ls -l /home/guest/dir1</w:t>
      </w:r>
    </w:p>
    <w:p>
      <w:pPr>
        <w:pStyle w:val="CaptionedFigure"/>
      </w:pPr>
      <w:bookmarkStart w:id="37" w:name="fig:007"/>
      <w:r>
        <w:drawing>
          <wp:inline>
            <wp:extent cx="4879361" cy="3342554"/>
            <wp:effectExtent b="0" l="0" r="0" t="0"/>
            <wp:docPr descr="Figure 7: Пункт лабораторной 12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61" cy="334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7: Пункт лабораторной 12</w:t>
      </w:r>
    </w:p>
    <w:p>
      <w:pPr>
        <w:pStyle w:val="CaptionedFigure"/>
      </w:pPr>
      <w:bookmarkStart w:id="39" w:name="fig:008"/>
      <w:r>
        <w:drawing>
          <wp:inline>
            <wp:extent cx="4879361" cy="3350238"/>
            <wp:effectExtent b="0" l="0" r="0" t="0"/>
            <wp:docPr descr="Figure 8: Пункт лабораторной 13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61" cy="3350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8: Пункт лабораторной 13</w:t>
      </w:r>
    </w:p>
    <w:bookmarkEnd w:id="40"/>
    <w:bookmarkStart w:id="43" w:name="Xb64c8dd5ee278af200e1e8295ae9a54ed82b4f2"/>
    <w:p>
      <w:pPr>
        <w:pStyle w:val="Heading2"/>
      </w:pPr>
      <w:r>
        <w:t xml:space="preserve">Таблица «Установленные права и разрешённые действия»</w:t>
      </w:r>
    </w:p>
    <w:p>
      <w:pPr>
        <w:numPr>
          <w:ilvl w:val="0"/>
          <w:numId w:val="1006"/>
        </w:numPr>
      </w:pPr>
      <w:r>
        <w:t xml:space="preserve">Заполнили таблицу «Установленные права и разрешённые действия», выполняя действия от имени владельца директории (файлов), определяя опытным путём, какие операции разрешены, а какие нет.</w:t>
      </w:r>
    </w:p>
    <w:p>
      <w:pPr>
        <w:numPr>
          <w:ilvl w:val="0"/>
          <w:numId w:val="1006"/>
        </w:numPr>
      </w:pPr>
      <w:r>
        <w:t xml:space="preserve">Если операция разрешена, занесли в таблицу знак «+», если не разрешена, знак «-».</w:t>
      </w:r>
    </w:p>
    <w:p>
      <w:pPr>
        <w:pStyle w:val="CaptionedFigure"/>
      </w:pPr>
      <w:bookmarkStart w:id="42" w:name="fig:009"/>
      <w:r>
        <w:drawing>
          <wp:inline>
            <wp:extent cx="5334000" cy="3615621"/>
            <wp:effectExtent b="0" l="0" r="0" t="0"/>
            <wp:docPr descr="Figure 9: Установленные права и разрешённые действия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5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9: Установленные права и разрешённые действия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770"/>
        <w:gridCol w:w="556"/>
        <w:gridCol w:w="684"/>
        <w:gridCol w:w="684"/>
        <w:gridCol w:w="642"/>
        <w:gridCol w:w="599"/>
        <w:gridCol w:w="770"/>
        <w:gridCol w:w="1284"/>
        <w:gridCol w:w="941"/>
        <w:gridCol w:w="984"/>
      </w:tblGrid>
      <w:tr>
        <w:tc>
          <w:p>
            <w:pPr>
              <w:pStyle w:val="Compact"/>
              <w:jc w:val="center"/>
            </w:pPr>
            <w:r>
              <w:t xml:space="preserve">Права директории</w:t>
            </w:r>
          </w:p>
        </w:tc>
        <w:tc>
          <w:p>
            <w:pPr>
              <w:pStyle w:val="Compact"/>
              <w:jc w:val="center"/>
            </w:pPr>
            <w:r>
              <w:t xml:space="preserve">Права файла</w:t>
            </w:r>
          </w:p>
        </w:tc>
        <w:tc>
          <w:p>
            <w:pPr>
              <w:pStyle w:val="Compact"/>
              <w:jc w:val="center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center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center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center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center"/>
            </w:pPr>
            <w:r>
              <w:t xml:space="preserve">Смена директории</w:t>
            </w:r>
          </w:p>
        </w:tc>
        <w:tc>
          <w:p>
            <w:pPr>
              <w:pStyle w:val="Compact"/>
              <w:jc w:val="center"/>
            </w:pPr>
            <w:r>
              <w:t xml:space="preserve">Просмотр файлов в директории</w:t>
            </w:r>
          </w:p>
        </w:tc>
        <w:tc>
          <w:p>
            <w:pPr>
              <w:pStyle w:val="Compact"/>
              <w:jc w:val="center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center"/>
            </w:pPr>
            <w:r>
              <w:t xml:space="preserve">Смена атрибутов файла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- x (500)</w:t>
            </w:r>
          </w:p>
        </w:tc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w - (600)</w:t>
            </w:r>
          </w:p>
        </w:tc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w x (700)</w:t>
            </w:r>
          </w:p>
        </w:tc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- x (500)</w:t>
            </w:r>
          </w:p>
        </w:tc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w - (600)</w:t>
            </w:r>
          </w:p>
        </w:tc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w x (700)</w:t>
            </w:r>
          </w:p>
        </w:tc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- x (500)</w:t>
            </w:r>
          </w:p>
        </w:tc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w - (600)</w:t>
            </w:r>
          </w:p>
        </w:tc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w x (700)</w:t>
            </w:r>
          </w:p>
        </w:tc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- x (500)</w:t>
            </w:r>
          </w:p>
        </w:tc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w - (600)</w:t>
            </w:r>
          </w:p>
        </w:tc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w x (700)</w:t>
            </w:r>
          </w:p>
        </w:tc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- x (500)</w:t>
            </w:r>
          </w:p>
        </w:tc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w - (600)</w:t>
            </w:r>
          </w:p>
        </w:tc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w x (700)</w:t>
            </w:r>
          </w:p>
        </w:tc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  <w:tc>
          <w:p>
            <w:pPr>
              <w:pStyle w:val="Compact"/>
              <w:jc w:val="center"/>
            </w:pPr>
            <w:r>
              <w:t xml:space="preserve">r - x (500)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r - x (500)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  <w:tc>
          <w:p>
            <w:pPr>
              <w:pStyle w:val="Compact"/>
              <w:jc w:val="center"/>
            </w:pPr>
            <w:r>
              <w:t xml:space="preserve">r - x (500)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r - x (500)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  <w:tc>
          <w:p>
            <w:pPr>
              <w:pStyle w:val="Compact"/>
              <w:jc w:val="center"/>
            </w:pPr>
            <w:r>
              <w:t xml:space="preserve">r - x (500)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- x (500)</w:t>
            </w:r>
          </w:p>
        </w:tc>
        <w:tc>
          <w:p>
            <w:pPr>
              <w:pStyle w:val="Compact"/>
              <w:jc w:val="center"/>
            </w:pPr>
            <w:r>
              <w:t xml:space="preserve">r - x (500)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w - (600)</w:t>
            </w:r>
          </w:p>
        </w:tc>
        <w:tc>
          <w:p>
            <w:pPr>
              <w:pStyle w:val="Compact"/>
              <w:jc w:val="center"/>
            </w:pPr>
            <w:r>
              <w:t xml:space="preserve">r - x (500)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w x (700)</w:t>
            </w:r>
          </w:p>
        </w:tc>
        <w:tc>
          <w:p>
            <w:pPr>
              <w:pStyle w:val="Compact"/>
              <w:jc w:val="center"/>
            </w:pPr>
            <w:r>
              <w:t xml:space="preserve">r - x (500)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  <w:tc>
          <w:p>
            <w:pPr>
              <w:pStyle w:val="Compact"/>
              <w:jc w:val="center"/>
            </w:pPr>
            <w:r>
              <w:t xml:space="preserve">r w x (600)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r w x (600)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  <w:tc>
          <w:p>
            <w:pPr>
              <w:pStyle w:val="Compact"/>
              <w:jc w:val="center"/>
            </w:pPr>
            <w:r>
              <w:t xml:space="preserve">r w x (600)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r w x (600)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  <w:tc>
          <w:p>
            <w:pPr>
              <w:pStyle w:val="Compact"/>
              <w:jc w:val="center"/>
            </w:pPr>
            <w:r>
              <w:t xml:space="preserve">r w x (600)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- x (500)</w:t>
            </w:r>
          </w:p>
        </w:tc>
        <w:tc>
          <w:p>
            <w:pPr>
              <w:pStyle w:val="Compact"/>
              <w:jc w:val="center"/>
            </w:pPr>
            <w:r>
              <w:t xml:space="preserve">r w x (600)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w - (600)</w:t>
            </w:r>
          </w:p>
        </w:tc>
        <w:tc>
          <w:p>
            <w:pPr>
              <w:pStyle w:val="Compact"/>
              <w:jc w:val="center"/>
            </w:pPr>
            <w:r>
              <w:t xml:space="preserve">r w x (600)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w x (700)</w:t>
            </w:r>
          </w:p>
        </w:tc>
        <w:tc>
          <w:p>
            <w:pPr>
              <w:pStyle w:val="Compact"/>
              <w:jc w:val="center"/>
            </w:pPr>
            <w:r>
              <w:t xml:space="preserve">r w x (600)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  <w:tc>
          <w:p>
            <w:pPr>
              <w:pStyle w:val="Compact"/>
              <w:jc w:val="center"/>
            </w:pPr>
            <w:r>
              <w:t xml:space="preserve">r w x (700)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r w x (700)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  <w:tc>
          <w:p>
            <w:pPr>
              <w:pStyle w:val="Compact"/>
              <w:jc w:val="center"/>
            </w:pPr>
            <w:r>
              <w:t xml:space="preserve">r w x (700)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r w x (700)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  <w:tc>
          <w:p>
            <w:pPr>
              <w:pStyle w:val="Compact"/>
              <w:jc w:val="center"/>
            </w:pPr>
            <w:r>
              <w:t xml:space="preserve">r w x (700)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- x (500)</w:t>
            </w:r>
          </w:p>
        </w:tc>
        <w:tc>
          <w:p>
            <w:pPr>
              <w:pStyle w:val="Compact"/>
              <w:jc w:val="center"/>
            </w:pPr>
            <w:r>
              <w:t xml:space="preserve">r w x (700)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w - (600)</w:t>
            </w:r>
          </w:p>
        </w:tc>
        <w:tc>
          <w:p>
            <w:pPr>
              <w:pStyle w:val="Compact"/>
              <w:jc w:val="center"/>
            </w:pPr>
            <w:r>
              <w:t xml:space="preserve">r w x (700)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  <w:tc>
          <w:p>
            <w:pPr>
              <w:pStyle w:val="Compact"/>
              <w:jc w:val="center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 w x (700)</w:t>
            </w:r>
          </w:p>
        </w:tc>
        <w:tc>
          <w:p>
            <w:pPr>
              <w:pStyle w:val="Compact"/>
              <w:jc w:val="center"/>
            </w:pPr>
            <w:r>
              <w:t xml:space="preserve">r w x (700)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  <w:tc>
          <w:p>
            <w:pPr>
              <w:pStyle w:val="Compact"/>
              <w:jc w:val="center"/>
            </w:pPr>
            <w:r>
              <w:t xml:space="preserve">+</w:t>
            </w:r>
          </w:p>
        </w:tc>
      </w:tr>
    </w:tbl>
    <w:bookmarkEnd w:id="43"/>
    <w:bookmarkStart w:id="46" w:name="X97a8c085f28cb8efcf209cfde974c64057818c8"/>
    <w:p>
      <w:pPr>
        <w:pStyle w:val="Heading2"/>
      </w:pPr>
      <w:r>
        <w:t xml:space="preserve">Таблица «Минимальные права для совершения операций»</w:t>
      </w:r>
    </w:p>
    <w:p>
      <w:pPr>
        <w:pStyle w:val="FirstParagraph"/>
      </w:pPr>
      <w:r>
        <w:t xml:space="preserve">На основании заполненной таблицы определили те или иные минимально необходимые права для выполнения операций внутри директории dir1, заполнили вторую таблицу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</w:t>
      </w:r>
      <w:r>
        <w:t xml:space="preserve">”</w:t>
      </w:r>
      <w:r>
        <w:t xml:space="preserve">.</w:t>
      </w:r>
    </w:p>
    <w:p>
      <w:pPr>
        <w:pStyle w:val="CaptionedFigure"/>
      </w:pPr>
      <w:bookmarkStart w:id="45" w:name="fig:010"/>
      <w:r>
        <w:drawing>
          <wp:inline>
            <wp:extent cx="5334000" cy="1966726"/>
            <wp:effectExtent b="0" l="0" r="0" t="0"/>
            <wp:docPr descr="Figure 10: Установленные права и разрешённые действия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6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10: Установленные права и разрешённые действия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center"/>
            </w:pPr>
            <w:r>
              <w:t xml:space="preserve">Операция</w:t>
            </w:r>
          </w:p>
        </w:tc>
        <w:tc>
          <w:p>
            <w:pPr>
              <w:pStyle w:val="Compact"/>
              <w:jc w:val="center"/>
            </w:pPr>
            <w:r>
              <w:t xml:space="preserve">Минимальные права на директорию</w:t>
            </w:r>
          </w:p>
        </w:tc>
        <w:tc>
          <w:p>
            <w:pPr>
              <w:pStyle w:val="Compact"/>
              <w:jc w:val="center"/>
            </w:pPr>
            <w:r>
              <w:t xml:space="preserve">Минимальные права на файл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r - - (400)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center"/>
            </w:pPr>
            <w:r>
              <w:t xml:space="preserve">- - x (100)</w:t>
            </w:r>
          </w:p>
        </w:tc>
        <w:tc>
          <w:p>
            <w:pPr>
              <w:pStyle w:val="Compact"/>
              <w:jc w:val="center"/>
            </w:pPr>
            <w:r>
              <w:t xml:space="preserve">- w - (200)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Создание поддиректории</w:t>
            </w:r>
          </w:p>
        </w:tc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Удаление поддиректории</w:t>
            </w:r>
          </w:p>
        </w:tc>
        <w:tc>
          <w:p>
            <w:pPr>
              <w:pStyle w:val="Compact"/>
              <w:jc w:val="center"/>
            </w:pPr>
            <w:r>
              <w:t xml:space="preserve">- w x (300)</w:t>
            </w:r>
          </w:p>
        </w:tc>
        <w:tc>
          <w:p>
            <w:pPr>
              <w:pStyle w:val="Compact"/>
              <w:jc w:val="center"/>
            </w:pPr>
            <w:r>
              <w:t xml:space="preserve">- - - (000)</w:t>
            </w:r>
          </w:p>
        </w:tc>
      </w:tr>
    </w:tbl>
    <w:bookmarkEnd w:id="46"/>
    <w:bookmarkEnd w:id="47"/>
    <w:bookmarkStart w:id="48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лабораторной работы получили практические навыки работы в консоли с атрибутами файлов, закрепили теоретические основы дискреционного разграничения доступа в современных системах с открытым кодом на базе ОС Linux.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71315dc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9">
    <w:nsid w:val="47261ba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b3cbbdee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1">
    <w:nsid w:val="91a27d85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4" Target="media/rId44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</dc:title>
  <dc:creator>Греков Максим Сергеевич</dc:creator>
  <dc:language>ru-RU</dc:language>
  <cp:keywords/>
  <dcterms:created xsi:type="dcterms:W3CDTF">2021-10-02T20:15:13Z</dcterms:created>
  <dcterms:modified xsi:type="dcterms:W3CDTF">2021-10-02T20:15:13Z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ate">
    <vt:lpwstr>2021</vt:lpwstr>
  </property>
  <property fmtid="{D5CDD505-2E9C-101B-9397-08002B2CF9AE}" pid="14" name="documentclass">
    <vt:lpwstr>scrreprt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institute">
    <vt:lpwstr>RUDN University, Moscow, Russian Federation</vt:lpwstr>
  </property>
  <property fmtid="{D5CDD505-2E9C-101B-9397-08002B2CF9AE}" pid="27" name="lastDelim">
    <vt:lpwstr>, </vt:lpwstr>
  </property>
  <property fmtid="{D5CDD505-2E9C-101B-9397-08002B2CF9AE}" pid="28" name="linestretch">
    <vt:lpwstr>1.5</vt:lpwstr>
  </property>
  <property fmtid="{D5CDD505-2E9C-101B-9397-08002B2CF9AE}" pid="29" name="linkReferences">
    <vt:lpwstr>False</vt:lpwstr>
  </property>
  <property fmtid="{D5CDD505-2E9C-101B-9397-08002B2CF9AE}" pid="30" name="listingTemplate">
    <vt:lpwstr>listingTitle ititleDelim t</vt:lpwstr>
  </property>
  <property fmtid="{D5CDD505-2E9C-101B-9397-08002B2CF9AE}" pid="31" name="listingTitle">
    <vt:lpwstr>Listing</vt:lpwstr>
  </property>
  <property fmtid="{D5CDD505-2E9C-101B-9397-08002B2CF9AE}" pid="32" name="listings">
    <vt:lpwstr>False</vt:lpwstr>
  </property>
  <property fmtid="{D5CDD505-2E9C-101B-9397-08002B2CF9AE}" pid="33" name="lof">
    <vt:lpwstr>True</vt:lpwstr>
  </property>
  <property fmtid="{D5CDD505-2E9C-101B-9397-08002B2CF9AE}" pid="34" name="lofTitle">
    <vt:lpwstr>List of Figures</vt:lpwstr>
  </property>
  <property fmtid="{D5CDD505-2E9C-101B-9397-08002B2CF9AE}" pid="35" name="lolTitle">
    <vt:lpwstr>List of Listings</vt:lpwstr>
  </property>
  <property fmtid="{D5CDD505-2E9C-101B-9397-08002B2CF9AE}" pid="36" name="lot">
    <vt:lpwstr>False</vt:lpwstr>
  </property>
  <property fmtid="{D5CDD505-2E9C-101B-9397-08002B2CF9AE}" pid="37" name="lotTitle">
    <vt:lpwstr>List of Tables</vt:lpwstr>
  </property>
  <property fmtid="{D5CDD505-2E9C-101B-9397-08002B2CF9AE}" pid="38" name="lstLabels">
    <vt:lpwstr>arabic</vt:lpwstr>
  </property>
  <property fmtid="{D5CDD505-2E9C-101B-9397-08002B2CF9AE}" pid="39" name="lstPrefix">
    <vt:lpwstr/>
  </property>
  <property fmtid="{D5CDD505-2E9C-101B-9397-08002B2CF9AE}" pid="40" name="lstPrefixTemplate">
    <vt:lpwstr>p i</vt:lpwstr>
  </property>
  <property fmtid="{D5CDD505-2E9C-101B-9397-08002B2CF9AE}" pid="41" name="mainfont">
    <vt:lpwstr>PT Serif</vt:lpwstr>
  </property>
  <property fmtid="{D5CDD505-2E9C-101B-9397-08002B2CF9AE}" pid="42" name="mainfontoptions">
    <vt:lpwstr>Ligatures=TeX</vt:lpwstr>
  </property>
  <property fmtid="{D5CDD505-2E9C-101B-9397-08002B2CF9AE}" pid="43" name="monofont">
    <vt:lpwstr>PT Serif</vt:lpwstr>
  </property>
  <property fmtid="{D5CDD505-2E9C-101B-9397-08002B2CF9AE}" pid="44" name="monofontoptions">
    <vt:lpwstr>Scale=MatchLowercase</vt:lpwstr>
  </property>
  <property fmtid="{D5CDD505-2E9C-101B-9397-08002B2CF9AE}" pid="45" name="nameInLink">
    <vt:lpwstr>False</vt:lpwstr>
  </property>
  <property fmtid="{D5CDD505-2E9C-101B-9397-08002B2CF9AE}" pid="46" name="numberSections">
    <vt:lpwstr>False</vt:lpwstr>
  </property>
  <property fmtid="{D5CDD505-2E9C-101B-9397-08002B2CF9AE}" pid="47" name="pairDelim">
    <vt:lpwstr>, </vt:lpwstr>
  </property>
  <property fmtid="{D5CDD505-2E9C-101B-9397-08002B2CF9AE}" pid="48" name="papersize">
    <vt:lpwstr>a4paper</vt:lpwstr>
  </property>
  <property fmtid="{D5CDD505-2E9C-101B-9397-08002B2CF9AE}" pid="49" name="pdf-engine">
    <vt:lpwstr>lualatex</vt:lpwstr>
  </property>
  <property fmtid="{D5CDD505-2E9C-101B-9397-08002B2CF9AE}" pid="50" name="polyglossia-lang">
    <vt:lpwstr>russian</vt:lpwstr>
  </property>
  <property fmtid="{D5CDD505-2E9C-101B-9397-08002B2CF9AE}" pid="51" name="polyglossia-otherlangs">
    <vt:lpwstr>english</vt:lpwstr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PT Serif</vt:lpwstr>
  </property>
  <property fmtid="{D5CDD505-2E9C-101B-9397-08002B2CF9AE}" pid="56" name="romanfontoptions">
    <vt:lpwstr>Ligatures=TeX</vt:lpwstr>
  </property>
  <property fmtid="{D5CDD505-2E9C-101B-9397-08002B2CF9AE}" pid="57" name="sansfont">
    <vt:lpwstr>PT Serif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subtitle">
    <vt:lpwstr>Л.2. Дискреционное разграничение прав в Linux. Основные атрибуты</vt:lpwstr>
  </property>
  <property fmtid="{D5CDD505-2E9C-101B-9397-08002B2CF9AE}" pid="71" name="tableEqns">
    <vt:lpwstr>False</vt:lpwstr>
  </property>
  <property fmtid="{D5CDD505-2E9C-101B-9397-08002B2CF9AE}" pid="72" name="tableTemplate">
    <vt:lpwstr>tableTitle ititleDelim t</vt:lpwstr>
  </property>
  <property fmtid="{D5CDD505-2E9C-101B-9397-08002B2CF9AE}" pid="73" name="tableTitle">
    <vt:lpwstr>Table</vt:lpwstr>
  </property>
  <property fmtid="{D5CDD505-2E9C-101B-9397-08002B2CF9AE}" pid="74" name="tblLabels">
    <vt:lpwstr>arabic</vt:lpwstr>
  </property>
  <property fmtid="{D5CDD505-2E9C-101B-9397-08002B2CF9AE}" pid="75" name="tblPrefix">
    <vt:lpwstr/>
  </property>
  <property fmtid="{D5CDD505-2E9C-101B-9397-08002B2CF9AE}" pid="76" name="tblPrefixTemplate">
    <vt:lpwstr>p i</vt:lpwstr>
  </property>
  <property fmtid="{D5CDD505-2E9C-101B-9397-08002B2CF9AE}" pid="77" name="titleDelim">
    <vt:lpwstr>:</vt:lpwstr>
  </property>
  <property fmtid="{D5CDD505-2E9C-101B-9397-08002B2CF9AE}" pid="78" name="toc">
    <vt:lpwstr>True</vt:lpwstr>
  </property>
  <property fmtid="{D5CDD505-2E9C-101B-9397-08002B2CF9AE}" pid="79" name="toc-title">
    <vt:lpwstr>Содержание</vt:lpwstr>
  </property>
  <property fmtid="{D5CDD505-2E9C-101B-9397-08002B2CF9AE}" pid="80" name="toc_depth">
    <vt:lpwstr>2</vt:lpwstr>
  </property>
</Properties>
</file>