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Л.8.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7" w:name="теория"/>
    <w:p>
      <w:pPr>
        <w:pStyle w:val="Heading1"/>
      </w:pPr>
      <w:r>
        <w:t xml:space="preserve">Теория</w:t>
      </w:r>
    </w:p>
    <w:bookmarkStart w:id="23" w:name="однократное-гаммирование-одним-ключом"/>
    <w:p>
      <w:pPr>
        <w:pStyle w:val="Heading2"/>
      </w:pPr>
      <w:r>
        <w:t xml:space="preserve">Однократное гаммирование одним ключом</w:t>
      </w:r>
    </w:p>
    <w:p>
      <w:pPr>
        <w:pStyle w:val="FirstParagraph"/>
      </w:pPr>
      <w:r>
        <w:t xml:space="preserve">Режим шифрования однократного гаммирования одним ключом двухвидов открытого текста реализуется в соответствии со схемой (рис. 1)</w:t>
      </w:r>
    </w:p>
    <w:p>
      <w:pPr>
        <w:pStyle w:val="CaptionedFigure"/>
      </w:pPr>
      <w:bookmarkStart w:id="22" w:name="fig:001"/>
      <w:r>
        <w:drawing>
          <wp:inline>
            <wp:extent cx="5334000" cy="1828945"/>
            <wp:effectExtent b="0" l="0" r="0" t="0"/>
            <wp:docPr descr="Figure 1: Общая схема шифрования двух различных текстов одним ключо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Общая схема шифрования двух различных текстов одним ключом</w:t>
      </w:r>
    </w:p>
    <w:bookmarkEnd w:id="23"/>
    <w:bookmarkStart w:id="24" w:name="шифротексты-телеграмм"/>
    <w:p>
      <w:pPr>
        <w:pStyle w:val="Heading2"/>
      </w:pPr>
      <w:r>
        <w:t xml:space="preserve">Шифротексты телеграмм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Открытый текст можно найти в соответствии с (рис. 1), зная шифротекст двух телеграмм, зашифрованных одним ключом.</w:t>
      </w:r>
    </w:p>
    <w:bookmarkEnd w:id="24"/>
    <w:bookmarkStart w:id="25" w:name="следствие-свойства-операции-xor"/>
    <w:p>
      <w:pPr>
        <w:pStyle w:val="Heading2"/>
      </w:pPr>
      <w:r>
        <w:t xml:space="preserve">Следствие свойства операции XOR</w:t>
      </w:r>
    </w:p>
    <w:p>
      <w:pPr>
        <w:pStyle w:val="FirstParagraph"/>
      </w:pPr>
      <w:r>
        <w:t xml:space="preserve">Для это оба равенства складываются по модулю 2. Тогда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</w:p>
    <w:bookmarkEnd w:id="25"/>
    <w:bookmarkStart w:id="26" w:name="Xa1b431b7c7775f962f96bb6704ea5b9651eb898"/>
    <w:p>
      <w:pPr>
        <w:pStyle w:val="Heading2"/>
      </w:pPr>
      <w:r>
        <w:t xml:space="preserve">Получение второго открытого текста по первому</w:t>
      </w:r>
    </w:p>
    <w:p>
      <w:pPr>
        <w:pStyle w:val="FirstParagraph"/>
      </w:pPr>
      <w:r>
        <w:t xml:space="preserve">Допустим, что злоумышленнику этот формат известен. 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</w:p>
    <w:p>
      <w:pPr>
        <w:pStyle w:val="BodyText"/>
      </w:pPr>
      <w:r>
        <w:t xml:space="preserve">Тогда зная</w:t>
      </w:r>
      <w:r>
        <w:t xml:space="preserve"> </w:t>
      </w:r>
      <w:r>
        <w:rPr>
          <w:iCs/>
          <w:i/>
        </w:rPr>
        <w:t xml:space="preserve">P1</w:t>
      </w:r>
      <w:r>
        <w:t xml:space="preserve">,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, которые находятся на позициях известного шаблона сообщения</w:t>
      </w:r>
      <w:r>
        <w:t xml:space="preserve"> </w:t>
      </w:r>
      <w:r>
        <w:rPr>
          <w:iCs/>
          <w:i/>
        </w:rPr>
        <w:t xml:space="preserve">P1</w:t>
      </w:r>
      <w:r>
        <w:t xml:space="preserve">.</w:t>
      </w:r>
    </w:p>
    <w:p>
      <w:pPr>
        <w:pStyle w:val="BodyText"/>
      </w:pPr>
      <w:r>
        <w:t xml:space="preserve">В соответствии с логикой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.</w:t>
      </w:r>
    </w:p>
    <w:p>
      <w:pPr>
        <w:pStyle w:val="BodyText"/>
      </w:pPr>
      <w:r>
        <w:t xml:space="preserve">Затем вновь используется описанное свойство с подстановкой вместо</w:t>
      </w:r>
      <w:r>
        <w:t xml:space="preserve"> </w:t>
      </w:r>
      <w:r>
        <w:rPr>
          <w:iCs/>
          <w:i/>
        </w:rPr>
        <w:t xml:space="preserve">P1</w:t>
      </w:r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. И так далее.</w:t>
      </w:r>
    </w:p>
    <w:p>
      <w:pPr>
        <w:pStyle w:val="BodyText"/>
      </w:pPr>
      <w:r>
        <w:t xml:space="preserve">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6"/>
    <w:bookmarkEnd w:id="27"/>
    <w:bookmarkStart w:id="41" w:name="ход-работы"/>
    <w:p>
      <w:pPr>
        <w:pStyle w:val="Heading1"/>
      </w:pPr>
      <w:r>
        <w:t xml:space="preserve">Ход работы</w:t>
      </w:r>
    </w:p>
    <w:bookmarkStart w:id="28" w:name="исходные-данные"/>
    <w:p>
      <w:pPr>
        <w:pStyle w:val="Heading2"/>
      </w:pPr>
      <w:r>
        <w:t xml:space="preserve">Исходные данные</w:t>
      </w:r>
    </w:p>
    <w:p>
      <w:pPr>
        <w:pStyle w:val="FirstParagraph"/>
      </w:pPr>
      <w:r>
        <w:t xml:space="preserve">Рассмотрим две телеграммы Центра: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P1</w:t>
      </w:r>
      <w:r>
        <w:t xml:space="preserve"> </w:t>
      </w:r>
      <w:r>
        <w:t xml:space="preserve">= НаВашисходящийот1204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P2</w:t>
      </w:r>
      <w:r>
        <w:t xml:space="preserve"> </w:t>
      </w:r>
      <w:r>
        <w:t xml:space="preserve">= ВСеверныйфилиалБанка</w:t>
      </w:r>
    </w:p>
    <w:p>
      <w:pPr>
        <w:pStyle w:val="FirstParagraph"/>
      </w:pPr>
      <w:r>
        <w:t xml:space="preserve">Ключ Центра длиной 20 байт:</w:t>
      </w:r>
    </w:p>
    <w:p>
      <w:pPr>
        <w:pStyle w:val="BodyText"/>
      </w:pPr>
      <w:r>
        <w:rPr>
          <w:iCs/>
          <w:i/>
        </w:rPr>
        <w:t xml:space="preserve">K</w:t>
      </w:r>
      <w:r>
        <w:t xml:space="preserve"> </w:t>
      </w:r>
      <w:r>
        <w:t xml:space="preserve">= 05 0C 17 7F 0E 4E 37 D2 94 10 09 2E 22 57 FF C8 0B B2 70 54</w:t>
      </w:r>
    </w:p>
    <w:bookmarkEnd w:id="28"/>
    <w:bookmarkStart w:id="31" w:name="код-исходных-данных"/>
    <w:p>
      <w:pPr>
        <w:pStyle w:val="Heading2"/>
      </w:pPr>
      <w:r>
        <w:t xml:space="preserve">Код исходных данных</w:t>
      </w:r>
    </w:p>
    <w:p>
      <w:pPr>
        <w:pStyle w:val="FirstParagraph"/>
      </w:pPr>
      <w:r>
        <w:t xml:space="preserve">Установим данные значения в соответствующие поля (рис. 2), используя программный код, реализованный в ходе предыдущий лабораторной, и получим шифротексты.</w:t>
      </w:r>
    </w:p>
    <w:p>
      <w:pPr>
        <w:pStyle w:val="CaptionedFigure"/>
      </w:pPr>
      <w:bookmarkStart w:id="30" w:name="fig:002"/>
      <w:r>
        <w:drawing>
          <wp:inline>
            <wp:extent cx="5334000" cy="1031918"/>
            <wp:effectExtent b="0" l="0" r="0" t="0"/>
            <wp:docPr descr="Figure 2: Исходные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Исходные данные</w:t>
      </w:r>
    </w:p>
    <w:bookmarkEnd w:id="31"/>
    <w:bookmarkStart w:id="34" w:name="функция-tripl"/>
    <w:p>
      <w:pPr>
        <w:pStyle w:val="Heading2"/>
      </w:pPr>
      <w:r>
        <w:t xml:space="preserve">Функция tripl()</w:t>
      </w:r>
    </w:p>
    <w:p>
      <w:pPr>
        <w:pStyle w:val="FirstParagraph"/>
      </w:pPr>
      <w:r>
        <w:t xml:space="preserve">Реализуем функцию (рис. 3), принимающую три строки, и возвращающую их совместное наложение операцией</w:t>
      </w:r>
      <w:r>
        <w:t xml:space="preserve"> </w:t>
      </w:r>
      <w:r>
        <w:rPr>
          <w:iCs/>
          <w:i/>
        </w:rPr>
        <w:t xml:space="preserve">XOR</w:t>
      </w:r>
      <w:r>
        <w:t xml:space="preserve">, согласно описанному раннее свойству.</w:t>
      </w:r>
    </w:p>
    <w:p>
      <w:pPr>
        <w:pStyle w:val="CaptionedFigure"/>
      </w:pPr>
      <w:bookmarkStart w:id="33" w:name="fig:003"/>
      <w:r>
        <w:drawing>
          <wp:inline>
            <wp:extent cx="5334000" cy="1401586"/>
            <wp:effectExtent b="0" l="0" r="0" t="0"/>
            <wp:docPr descr="Figure 3: Функция tripl(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Функция tripl()</w:t>
      </w:r>
    </w:p>
    <w:bookmarkEnd w:id="34"/>
    <w:bookmarkStart w:id="37" w:name="последовательные-вызовы-tripl"/>
    <w:p>
      <w:pPr>
        <w:pStyle w:val="Heading2"/>
      </w:pPr>
      <w:r>
        <w:t xml:space="preserve">Последовательные вызовы tripl()</w:t>
      </w:r>
    </w:p>
    <w:p>
      <w:pPr>
        <w:pStyle w:val="FirstParagraph"/>
      </w:pPr>
      <w:r>
        <w:t xml:space="preserve">Предположим, что злоумышленник знает начало первого сообщения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НаВаш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Пользуясь</w:t>
      </w:r>
      <w:r>
        <w:t xml:space="preserve"> </w:t>
      </w:r>
      <w:r>
        <w:rPr>
          <w:iCs/>
          <w:i/>
        </w:rPr>
        <w:t xml:space="preserve">tripl()</w:t>
      </w:r>
      <w:r>
        <w:t xml:space="preserve"> </w:t>
      </w:r>
      <w:r>
        <w:t xml:space="preserve">(рис. 4) пробуем расшифровать имеющиеся сообщения последовательной подстановкой в функцию открытых участков то первого, то второго сообщения, постепенно подбирая (рис. 5) продолжения уже имеющихся участков, тем самым увеличивая длину расшифрованных последовательностей.</w:t>
      </w:r>
    </w:p>
    <w:p>
      <w:pPr>
        <w:pStyle w:val="BodyText"/>
      </w:pPr>
      <w:r>
        <w:t xml:space="preserve">Таким образом удалось полность расшифровать оба сообщения.</w:t>
      </w:r>
    </w:p>
    <w:p>
      <w:pPr>
        <w:pStyle w:val="CaptionedFigure"/>
      </w:pPr>
      <w:bookmarkStart w:id="36" w:name="fig:004"/>
      <w:r>
        <w:drawing>
          <wp:inline>
            <wp:extent cx="5334000" cy="3218793"/>
            <wp:effectExtent b="0" l="0" r="0" t="0"/>
            <wp:docPr descr="Figure 4: Последовательные вызовы функции tripl() с новыми данны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Последовательные вызовы функции</w:t>
      </w:r>
      <w:r>
        <w:t xml:space="preserve"> </w:t>
      </w:r>
      <w:r>
        <w:rPr>
          <w:iCs/>
          <w:i/>
        </w:rPr>
        <w:t xml:space="preserve">tripl()</w:t>
      </w:r>
      <w:r>
        <w:t xml:space="preserve"> </w:t>
      </w:r>
      <w:r>
        <w:t xml:space="preserve">с новыми данными</w:t>
      </w:r>
    </w:p>
    <w:bookmarkEnd w:id="37"/>
    <w:bookmarkStart w:id="40" w:name="последовательные-открытия-участков"/>
    <w:p>
      <w:pPr>
        <w:pStyle w:val="Heading2"/>
      </w:pPr>
      <w:r>
        <w:t xml:space="preserve">Последовательные открытия участков</w:t>
      </w:r>
    </w:p>
    <w:p>
      <w:pPr>
        <w:pStyle w:val="CaptionedFigure"/>
      </w:pPr>
      <w:bookmarkStart w:id="39" w:name="fig:005"/>
      <w:r>
        <w:drawing>
          <wp:inline>
            <wp:extent cx="5334000" cy="3227955"/>
            <wp:effectExtent b="0" l="0" r="0" t="0"/>
            <wp:docPr descr="Figure 5: Последовательные открытия участков с новыми данным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5: Последовательные открытия участков с новыми данными</w:t>
      </w:r>
    </w:p>
    <w:bookmarkEnd w:id="40"/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Греков Максим Сергеевич</dc:creator>
  <dc:language>ru-RU</dc:language>
  <cp:keywords/>
  <dcterms:created xsi:type="dcterms:W3CDTF">2021-12-17T18:06:06Z</dcterms:created>
  <dcterms:modified xsi:type="dcterms:W3CDTF">2021-12-17T18:06:06Z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Serif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Serif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Л.8. Элементы криптографии. Шифрование (кодирование) различных исходных текстов одним ключом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