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material 3</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w:t>
      </w:r>
      <w:r w:rsidDel="00000000" w:rsidR="00000000" w:rsidRPr="00000000">
        <w:rPr>
          <w:rFonts w:ascii="Times New Roman" w:cs="Times New Roman" w:eastAsia="Times New Roman" w:hAnsi="Times New Roman"/>
          <w:i w:val="1"/>
          <w:sz w:val="24"/>
          <w:szCs w:val="24"/>
          <w:rtl w:val="0"/>
        </w:rPr>
        <w:t xml:space="preserve">psych </w:t>
      </w:r>
      <w:r w:rsidDel="00000000" w:rsidR="00000000" w:rsidRPr="00000000">
        <w:rPr>
          <w:rFonts w:ascii="Times New Roman" w:cs="Times New Roman" w:eastAsia="Times New Roman" w:hAnsi="Times New Roman"/>
          <w:sz w:val="24"/>
          <w:szCs w:val="24"/>
          <w:rtl w:val="0"/>
        </w:rPr>
        <w:t xml:space="preserve">package (Revelle, 2021) in R to calculate Pearson’s correlation coefficients for all predictor combinations we wished to use in the model. Collinearity checks on all predictors were performed within each spatial buffer. Due to collinearity, we removed CORINE conifer forestry data as it was collinear with the area of clearfell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0.87).</w:t>
      </w:r>
      <w:r w:rsidDel="00000000" w:rsidR="00000000" w:rsidRPr="00000000">
        <w:rPr>
          <w:rFonts w:ascii="Times New Roman" w:cs="Times New Roman" w:eastAsia="Times New Roman" w:hAnsi="Times New Roman"/>
          <w:sz w:val="24"/>
          <w:szCs w:val="24"/>
          <w:rtl w:val="0"/>
        </w:rPr>
        <w:t xml:space="preserve"> A preliminary analysis showed that the area of each type of habitat within the farm had no effect. Due to this and the size of the habitat (often &lt; 10m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we removed this predictor from the model. After initial checks we selected our covariates among those with no collinearity found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&lt;0.7) for all predictor combinations included in the same model (time lags were collinear within datasets but were not included in the same model). These data were then merged into six individual databases for each distance buffer. </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