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A5F"/>
          <w:sz w:val="36"/>
          <w:szCs w:val="36"/>
        </w:rPr>
        <w:t xml:space="preserve">Manual de Políticas de Atención al Cliente</w:t>
      </w:r>
    </w:p>
    <w:p>
      <w:pPr>
        <w:spacing w:after="120"/>
      </w:pPr>
      <w:r>
        <w:t xml:space="preserve">Lleyton Tech Store · Tienda online de tecnología · Versión 2.1 · Vigente desde el 01/09/2026</w:t>
      </w:r>
    </w:p>
    <w:p>
      <w:pPr>
        <w:spacing w:after="120"/>
      </w:pPr>
      <w:r>
        <w:t xml:space="preserve">Documento maestro que usa el equipo de soporte y el agente de IA para responder consultas de clientes. Si una situación no figura en este manual, se deriva a un supervisor.</w:t>
      </w:r>
    </w:p>
    <w:p>
      <w:pPr>
        <w:pStyle w:val="Heading1"/>
      </w:pPr>
      <w:r>
        <w:t xml:space="preserve">1. Alcance y vigencia</w:t>
      </w:r>
    </w:p>
    <w:p>
      <w:pPr>
        <w:spacing w:after="120"/>
      </w:pPr>
      <w:r>
        <w:t xml:space="preserve">Este manual aplica a todas las compras realizadas en la tienda online (web y WhatsApp de ventas) con entrega dentro de la República Argentina. Reemplaza a la versión 2.0 y a todas las circulares anteriores. Los montos están expresados en pesos argentinos con IVA incluido.</w:t>
      </w:r>
    </w:p>
    <w:p>
      <w:pPr>
        <w:pStyle w:val="Heading1"/>
      </w:pPr>
      <w:r>
        <w:t xml:space="preserve">2. Envíos</w:t>
      </w:r>
    </w:p>
    <w:p>
      <w:pPr>
        <w:pStyle w:val="Heading2"/>
      </w:pPr>
      <w:r>
        <w:t xml:space="preserve">2.1 Zonas, plazos y costos</w:t>
      </w:r>
    </w:p>
    <w:p>
      <w:pPr>
        <w:spacing w:after="120"/>
      </w:pPr>
      <w:r>
        <w:t xml:space="preserve">El plazo se cuenta en días hábiles desde la acreditación del pago. Los pedidos acreditados después de las 13:00 h se despachan al día hábil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Zona</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Cobertura</w:t>
            </w:r>
          </w:p>
        </w:tc>
        <w:tc>
          <w:tcPr>
            <w:tcW w:type="dxa" w:w="2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Plazo de entrega</w:t>
            </w:r>
          </w:p>
        </w:tc>
        <w:tc>
          <w:tcPr>
            <w:tcW w:type="dxa" w:w="20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Costo</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AMBA</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CABA y GBA (hasta 40 km)</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24 a 48 h hábiles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$4.500</w:t>
            </w:r>
          </w:p>
        </w:tc>
      </w:tr>
      <w:tr>
        <w:trPr>
          <w:tblHeader w:val="off"/>
        </w:trPr>
        <w:tc>
          <w:tcPr>
            <w:tcW w:type="dxa" w:w="2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Centro</w:t>
            </w:r>
          </w:p>
        </w:tc>
        <w:tc>
          <w:tcPr>
            <w:tcW w:type="dxa" w:w="2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Córdoba, Santa Fe, Entre Ríos, resto de Buenos Aires</w:t>
            </w:r>
          </w:p>
        </w:tc>
        <w:tc>
          <w:tcPr>
            <w:tcW w:type="dxa" w:w="2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48 a 72 h hábiles</w:t>
            </w:r>
          </w:p>
        </w:tc>
        <w:tc>
          <w:tcPr>
            <w:tcW w:type="dxa" w:w="2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$6.900</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Interior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Cuyo, NOA, NEA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 a 5 días hábiles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$8.900</w:t>
            </w:r>
          </w:p>
        </w:tc>
      </w:tr>
      <w:tr>
        <w:trPr>
          <w:tblHeader w:val="off"/>
        </w:trPr>
        <w:tc>
          <w:tcPr>
            <w:tcW w:type="dxa" w:w="2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Patagonia</w:t>
            </w:r>
          </w:p>
        </w:tc>
        <w:tc>
          <w:tcPr>
            <w:tcW w:type="dxa" w:w="2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Neuquén a Tierra del Fuego</w:t>
            </w:r>
          </w:p>
        </w:tc>
        <w:tc>
          <w:tcPr>
            <w:tcW w:type="dxa" w:w="2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5 a 7 días hábiles</w:t>
            </w:r>
          </w:p>
        </w:tc>
        <w:tc>
          <w:tcPr>
            <w:tcW w:type="dxa" w:w="2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$11.500</w:t>
            </w:r>
          </w:p>
        </w:tc>
      </w:tr>
    </w:tbl>
    <w:p>
      <w:pPr>
        <w:pStyle w:val="Heading2"/>
      </w:pPr>
      <w:r>
        <w:t xml:space="preserve">2.2 Envío gratis</w:t>
      </w:r>
    </w:p>
    <w:p>
      <w:pPr>
        <w:spacing w:after="120"/>
      </w:pPr>
      <w:r>
        <w:t xml:space="preserve">El envío es gratis en compras desde $80.000 a las zonas AMBA y Centro. Para Interior y Patagonia se bonifica el 50% del costo de envío en compras desde $120.000.</w:t>
      </w:r>
    </w:p>
    <w:p>
      <w:pPr>
        <w:pStyle w:val="Heading2"/>
      </w:pPr>
      <w:r>
        <w:t xml:space="preserve">2.3 Seguimiento y demoras</w:t>
      </w:r>
    </w:p>
    <w:p>
      <w:pPr>
        <w:spacing w:after="120"/>
      </w:pPr>
      <w:r>
        <w:t xml:space="preserve">Al despachar el pedido el cliente recibe por email el número de seguimiento del correo. Si el pedido supera en más de 2 días hábiles el plazo de la tabla 2.1, soporte abre un reclamo con el correo y, si el paquete se pierde, se reenvía el producto sin cargo o se reintegra el 100% del importe a elección del cliente.</w:t>
      </w:r>
    </w:p>
    <w:p>
      <w:pPr>
        <w:pStyle w:val="Heading1"/>
      </w:pPr>
      <w:r>
        <w:t xml:space="preserve">3. Medios de pago</w:t>
      </w:r>
    </w:p>
    <w:p>
      <w:pPr>
        <w:pStyle w:val="Heading2"/>
      </w:pPr>
      <w:r>
        <w:t xml:space="preserve">3.1 Opciones y cuotas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Medio de pago</w:t>
            </w:r>
          </w:p>
        </w:tc>
        <w:tc>
          <w:tcPr>
            <w:tcW w:type="dxa" w:w="32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Cuotas</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Condición</w:t>
            </w:r>
          </w:p>
        </w:tc>
      </w:tr>
      <w:tr>
        <w:trPr>
          <w:tblHeader w:val="off"/>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Tarjeta de crédito bancaria (Visa, Mastercard, Amex)</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Hasta 6 cuotas sin interés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Compra mínima de $30.000</w:t>
            </w:r>
          </w:p>
        </w:tc>
      </w:tr>
      <w:tr>
        <w:trPr>
          <w:tblHeader w:val="off"/>
        </w:trPr>
        <w:tc>
          <w:tcPr>
            <w:tcW w:type="dxa" w:w="28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Tarjeta de crédito bancaria</w:t>
            </w:r>
          </w:p>
        </w:tc>
        <w:tc>
          <w:tcPr>
            <w:tcW w:type="dxa" w:w="32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9 y 12 cuotas</w:t>
            </w:r>
          </w:p>
        </w:tc>
        <w:tc>
          <w:tcPr>
            <w:tcW w:type="dxa" w:w="3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Con recargo del 18% y 27% respectivamente</w:t>
            </w:r>
          </w:p>
        </w:tc>
      </w:tr>
      <w:tr>
        <w:trPr>
          <w:tblHeader w:val="off"/>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Tarjeta de débito</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 pago</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Sin recargo</w:t>
            </w:r>
          </w:p>
        </w:tc>
      </w:tr>
      <w:tr>
        <w:trPr>
          <w:tblHeader w:val="off"/>
        </w:trPr>
        <w:tc>
          <w:tcPr>
            <w:tcW w:type="dxa" w:w="28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Transferencia bancaria</w:t>
            </w:r>
          </w:p>
        </w:tc>
        <w:tc>
          <w:tcPr>
            <w:tcW w:type="dxa" w:w="32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1 pago</w:t>
            </w:r>
          </w:p>
        </w:tc>
        <w:tc>
          <w:tcPr>
            <w:tcW w:type="dxa" w:w="3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10% de descuento; reserva de stock por 24 h</w:t>
            </w:r>
          </w:p>
        </w:tc>
      </w:tr>
      <w:tr>
        <w:trPr>
          <w:tblHeader w:val="off"/>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Mercado Pago (dinero en cuenta)</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 pago</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Sin recargo</w:t>
            </w:r>
          </w:p>
        </w:tc>
      </w:tr>
    </w:tbl>
    <w:p>
      <w:pPr>
        <w:pStyle w:val="Heading2"/>
      </w:pPr>
      <w:r>
        <w:t xml:space="preserve">3.2 Facturación</w:t>
      </w:r>
    </w:p>
    <w:p>
      <w:pPr>
        <w:spacing w:after="120"/>
      </w:pPr>
      <w:r>
        <w:t xml:space="preserve">Se emite factura B a consumidores finales y factura A a responsables inscriptos que informen su CUIT antes del pago. La factura llega por email dentro de las 48 h de acreditado el pago. No se modifican facturas ya emitidas: se anula con nota de crédito y se emite una nueva.</w:t>
      </w:r>
    </w:p>
    <w:p>
      <w:pPr>
        <w:pStyle w:val="Heading1"/>
      </w:pPr>
      <w:r>
        <w:t xml:space="preserve">4. Cambios y devoluciones</w:t>
      </w:r>
    </w:p>
    <w:p>
      <w:pPr>
        <w:pStyle w:val="Heading2"/>
      </w:pPr>
      <w:r>
        <w:t xml:space="preserve">4.1 Derecho de arrepentimiento</w:t>
      </w:r>
    </w:p>
    <w:p>
      <w:pPr>
        <w:spacing w:after="120"/>
      </w:pPr>
      <w:r>
        <w:t xml:space="preserve">Según el artículo 34 de la Ley 24.240 de Defensa del Consumidor, el cliente puede arrepentirse de la compra dentro de los 10 días corridos desde que recibe el producto, sin necesidad de explicar el motivo. El producto debe estar sin uso, con su embalaje original y todos sus accesorios. La tienda cubre el costo del retiro y reintegra el 100% del importe por el mismo medio de pago dentro de los 10 días hábiles de recibido el producto.</w:t>
      </w:r>
    </w:p>
    <w:p>
      <w:pPr>
        <w:spacing w:after="120"/>
      </w:pPr>
      <w:r>
        <w:t xml:space="preserve">El botón de arrepentimiento está en el pie de la página web. También se puede pedir por email a soporte@lleytontech.com.ar indicando el número de pedido.</w:t>
      </w:r>
    </w:p>
    <w:p>
      <w:pPr>
        <w:pStyle w:val="Heading2"/>
      </w:pPr>
      <w:r>
        <w:t xml:space="preserve">4.2 Producto con falla de fábrica</w:t>
      </w:r>
    </w:p>
    <w:p>
      <w:pPr>
        <w:spacing w:after="120"/>
      </w:pPr>
      <w:r>
        <w:t xml:space="preserve">Si el producto presenta una falla de fábrica dentro de los 30 días corridos desde la entrega, el cliente elige entre el cambio por una unidad nueva o el reembolso total. La tienda paga el envío de ida y vuelta. Pasados los 30 días, rige la garantía del punto 5.</w:t>
      </w:r>
    </w:p>
    <w:p>
      <w:pPr>
        <w:pStyle w:val="Heading2"/>
      </w:pPr>
      <w:r>
        <w:t xml:space="preserve">4.3 Cambio por otro modelo o color</w:t>
      </w:r>
    </w:p>
    <w:p>
      <w:pPr>
        <w:spacing w:after="120"/>
      </w:pPr>
      <w:r>
        <w:t xml:space="preserve">Se acepta el cambio por otro modelo o color dentro de los 15 días corridos desde la entrega, con el producto sin uso y en su caja original. Si el nuevo producto es más caro, el cliente abona la diferencia; si es más barato, la diferencia se entrega como crédito para una próxima compra. El envío del cambio corre por cuenta del cliente.</w:t>
      </w:r>
    </w:p>
    <w:p>
      <w:pPr>
        <w:pStyle w:val="Heading2"/>
      </w:pPr>
      <w:r>
        <w:t xml:space="preserve">4.4 Excepciones</w:t>
      </w:r>
    </w:p>
    <w:p>
      <w:pPr>
        <w:pStyle w:val="ListParagraph"/>
        <w:numPr>
          <w:ilvl w:val="0"/>
          <w:numId w:val="2"/>
        </w:numPr>
        <w:spacing w:after="60"/>
      </w:pPr>
      <w:r>
        <w:t xml:space="preserve">Auriculares in-ear y productos de higiene personal con el precinto abierto no admiten arrepentimiento ni cambio por modelo, salvo falla de fábrica (punto 4.2).</w:t>
      </w:r>
    </w:p>
    <w:p>
      <w:pPr>
        <w:pStyle w:val="ListParagraph"/>
        <w:numPr>
          <w:ilvl w:val="0"/>
          <w:numId w:val="2"/>
        </w:numPr>
        <w:spacing w:after="60"/>
      </w:pPr>
      <w:r>
        <w:t xml:space="preserve">Licencias de software y tarjetas de regalo digitales no admiten devolución una vez enviado el código.</w:t>
      </w:r>
    </w:p>
    <w:p>
      <w:pPr>
        <w:pStyle w:val="ListParagraph"/>
        <w:numPr>
          <w:ilvl w:val="0"/>
          <w:numId w:val="2"/>
        </w:numPr>
        <w:spacing w:after="60"/>
      </w:pPr>
      <w:r>
        <w:t xml:space="preserve">Productos con daño por mal uso, golpes o humedad quedan excluidos de cambios y garantía.</w:t>
      </w:r>
    </w:p>
    <w:p>
      <w:pPr>
        <w:pStyle w:val="Heading1"/>
      </w:pPr>
      <w:r>
        <w:t xml:space="preserve">5. Garantía</w:t>
      </w:r>
    </w:p>
    <w:p>
      <w:pPr>
        <w:spacing w:after="120"/>
      </w:pPr>
      <w:r>
        <w:t xml:space="preserve">La garantía cubre defectos de fabricación y se gestiona con la factura de compra. Durante la garantía, la tienda coordina el servicio técnico oficial y cubre el envío.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Categoría</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Plazo de garantía</w:t>
            </w:r>
          </w:p>
        </w:tc>
        <w:tc>
          <w:tcPr>
            <w:tcW w:type="dxa" w:w="30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Quién la presta</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Notebooks y PCs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 meses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Fabricante (service oficial)</w:t>
            </w:r>
          </w:p>
        </w:tc>
      </w:tr>
      <w:tr>
        <w:trPr>
          <w:tblHeader w:val="off"/>
        </w:trPr>
        <w:tc>
          <w:tcPr>
            <w:tcW w:type="dxa" w:w="3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Celulares y tablets</w:t>
            </w:r>
          </w:p>
        </w:tc>
        <w:tc>
          <w:tcPr>
            <w:tcW w:type="dxa" w:w="2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12 meses</w:t>
            </w:r>
          </w:p>
        </w:tc>
        <w:tc>
          <w:tcPr>
            <w:tcW w:type="dxa" w:w="3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Fabricante (service oficial)</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Monitores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 meses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Fabricante (service oficial)</w:t>
            </w:r>
          </w:p>
        </w:tc>
      </w:tr>
      <w:tr>
        <w:trPr>
          <w:tblHeader w:val="off"/>
        </w:trPr>
        <w:tc>
          <w:tcPr>
            <w:tcW w:type="dxa" w:w="3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Accesorios (cables, fundas, mouse, teclados)</w:t>
            </w:r>
          </w:p>
        </w:tc>
        <w:tc>
          <w:tcPr>
            <w:tcW w:type="dxa" w:w="2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6 meses</w:t>
            </w:r>
          </w:p>
        </w:tc>
        <w:tc>
          <w:tcPr>
            <w:tcW w:type="dxa" w:w="3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Lleyton Tech Store</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Productos reacondicionados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 meses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Lleyton Tech Store</w:t>
            </w:r>
          </w:p>
        </w:tc>
      </w:tr>
    </w:tbl>
    <w:p>
      <w:pPr>
        <w:pStyle w:val="Heading1"/>
      </w:pPr>
      <w:r>
        <w:t xml:space="preserve">6. Atención al cliente</w:t>
      </w:r>
    </w:p>
    <w:p>
      <w:pPr>
        <w:pStyle w:val="Heading2"/>
      </w:pPr>
      <w:r>
        <w:t xml:space="preserve">6.1 Canales y horarios</w:t>
      </w:r>
    </w:p>
    <w:p>
      <w:pPr>
        <w:spacing w:after="120"/>
      </w:pPr>
      <w:r>
        <w:t xml:space="preserve">Soporte atiende por email (soporte@lleytontech.com.ar) y por WhatsApp de lunes a viernes de 9:00 a 18:00 h y sábados de 9:00 a 13:00 h. Los mensajes recibidos fuera de horario se responden el siguiente día hábil.</w:t>
      </w:r>
    </w:p>
    <w:p>
      <w:pPr>
        <w:pStyle w:val="Heading2"/>
      </w:pPr>
      <w:r>
        <w:t xml:space="preserve">6.2 Tiempos de respuesta comprometidos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Prioridad</w:t>
            </w:r>
          </w:p>
        </w:tc>
        <w:tc>
          <w:tcPr>
            <w:tcW w:type="dxa" w:w="4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Ejemplos</w:t>
            </w:r>
          </w:p>
        </w:tc>
        <w:tc>
          <w:tcPr>
            <w:tcW w:type="dxa" w:w="24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Primera respuesta</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Alta</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Pedido perdido, cobro duplicado, producto con falla</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Dentro de 4 h hábiles</w:t>
            </w:r>
          </w:p>
        </w:tc>
      </w:tr>
      <w:tr>
        <w:trPr>
          <w:tblHeader w:val="off"/>
        </w:trPr>
        <w:tc>
          <w:tcPr>
            <w:tcW w:type="dxa" w:w="22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Media</w:t>
            </w:r>
          </w:p>
        </w:tc>
        <w:tc>
          <w:tcPr>
            <w:tcW w:type="dxa" w:w="4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Demora de envío, cambio o devolución</w:t>
            </w:r>
          </w:p>
        </w:tc>
        <w:tc>
          <w:tcPr>
            <w:tcW w:type="dxa" w:w="24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Dentro de 24 h hábiles</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Baja</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Consultas de preventa, factura, stock</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Dentro de 48 h hábiles</w:t>
            </w:r>
          </w:p>
        </w:tc>
      </w:tr>
    </w:tbl>
    <w:p>
      <w:pPr>
        <w:pStyle w:val="Heading2"/>
      </w:pPr>
      <w:r>
        <w:t xml:space="preserve">6.3 Escalamiento</w:t>
      </w:r>
    </w:p>
    <w:p>
      <w:pPr>
        <w:spacing w:after="120"/>
      </w:pPr>
      <w:r>
        <w:t xml:space="preserve">Los reclamos que piden un reintegro fuera de política, involucran un monto mayor a $300.000 o mencionan acciones legales se derivan al Supervisor de Atención al Cliente. El agente de IA nunca promete reintegros: solo prepara un borrador que un humano aprueba.</w:t>
      </w:r>
    </w:p>
    <w:p>
      <w:pPr>
        <w:pStyle w:val="Heading1"/>
      </w:pPr>
      <w:r>
        <w:t xml:space="preserve">7. Protección de datos personales</w:t>
      </w:r>
    </w:p>
    <w:p>
      <w:pPr>
        <w:spacing w:after="120"/>
      </w:pPr>
      <w:r>
        <w:t xml:space="preserve">Los datos del cliente se usan solo para gestionar su compra, conforme a la Ley 25.326. Soporte nunca pide por email ni WhatsApp el número completo de la tarjeta, el código de seguridad ni contraseñas. El cliente puede pedir el acceso, la rectificación o la baja de sus datos escribiendo a privacidad@lleytontech.com.ar.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Manual de Políticas de Atención al Cliente · v2.1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557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2026-09-29T22:21:12.304Z</dcterms:created>
  <dcterms:modified xsi:type="dcterms:W3CDTF">2026-09-29T22:21:12.304Z</dcterms:modified>
</cp:coreProperties>
</file>

<file path=docProps/custom.xml><?xml version="1.0" encoding="utf-8"?>
<Properties xmlns="http://schemas.openxmlformats.org/officeDocument/2006/custom-properties" xmlns:vt="http://schemas.openxmlformats.org/officeDocument/2006/docPropsVTypes"/>
</file>