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b/>
          <w:bCs/>
          <w:caps/>
          <w:color w:val="595959"/>
          <w:sz w:val="26"/>
          <w:szCs w:val="26"/>
        </w:rPr>
        <w:t xml:space="preserve">PROYECTO INTEGRADOR FINAL</w:t>
      </w:r>
    </w:p>
    <w:p>
      <w:pPr>
        <w:pBdr>
          <w:bottom w:val="single" w:color="2E74B5" w:sz="14" w:space="10"/>
        </w:pBdr>
        <w:spacing w:after="200"/>
        <w:jc w:val="center"/>
      </w:pPr>
      <w:r>
        <w:rPr>
          <w:b/>
          <w:bCs/>
          <w:color w:val="1F3864"/>
          <w:sz w:val="48"/>
          <w:szCs w:val="48"/>
        </w:rPr>
        <w:t xml:space="preserve">RetailPro — Análisis integral de ventas</w:t>
      </w:r>
    </w:p>
    <w:p>
      <w:pPr>
        <w:spacing w:after="80"/>
        <w:jc w:val="center"/>
      </w:pPr>
      <w:r>
        <w:rPr>
          <w:color w:val="595959"/>
          <w:sz w:val="24"/>
          <w:szCs w:val="24"/>
        </w:rPr>
        <w:t xml:space="preserve">Evaluación Final · Data Analytics (SQL · Estadística · Power BI)</w:t>
      </w:r>
    </w:p>
    <w:p>
      <w:pPr>
        <w:spacing w:after="40" w:before="400"/>
        <w:jc w:val="center"/>
      </w:pPr>
      <w:r>
        <w:rPr>
          <w:b/>
          <w:bCs/>
          <w:sz w:val="24"/>
          <w:szCs w:val="24"/>
        </w:rPr>
        <w:t xml:space="preserve">Alumno: Murphy, Lleyton</w:t>
      </w:r>
    </w:p>
    <w:p>
      <w:pPr>
        <w:jc w:val="center"/>
      </w:pPr>
      <w:r>
        <w:rPr>
          <w:i/>
          <w:iCs/>
          <w:color w:val="595959"/>
          <w:sz w:val="20"/>
          <w:szCs w:val="20"/>
        </w:rPr>
        <w:t xml:space="preserve">Proyecto integrador TechStore / RetailPro — dataset real (50 ventas depuradas, 2023–2024)</w:t>
      </w:r>
    </w:p>
    <w:p>
      <w:r>
        <w:br w:type="page"/>
      </w:r>
    </w:p>
    <w:p>
      <w:pPr>
        <w:pStyle w:val="Heading1"/>
        <w:spacing w:after="120" w:before="280"/>
      </w:pPr>
      <w:r>
        <w:rPr>
          <w:b/>
          <w:bCs/>
          <w:color w:val="1F3864"/>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b/>
          <w:bCs/>
          <w:color w:val="1F3864"/>
          <w:sz w:val="30"/>
          <w:szCs w:val="30"/>
        </w:rPr>
        <w:t xml:space="preserve">1. Contexto del problema (pregunta de negocio)</w:t>
      </w:r>
    </w:p>
    <w:p>
      <w:pPr>
        <w:spacing w:after="120" w:line="276"/>
      </w:pPr>
      <w:r>
        <w:rPr>
          <w:sz w:val="22"/>
          <w:szCs w:val="22"/>
        </w:rPr>
        <w:t xml:space="preserve">RetailPro (comercializadora de tecnología, marca de proyecto TechStore) necesita entender el comportamiento de sus ventas para tomar decisiones de compra, precios y foco comercial. La dirección no quiere leer código: quiere respuestas rápidas y confiables. </w:t>
      </w:r>
    </w:p>
    <w:p>
      <w:pPr>
        <w:spacing w:after="120" w:line="276"/>
      </w:pPr>
      <w:r>
        <w:rPr>
          <w:b/>
          <w:bCs/>
          <w:sz w:val="22"/>
          <w:szCs w:val="22"/>
        </w:rPr>
        <w:t xml:space="preserve">Pregunta de negocio central: </w:t>
      </w:r>
      <w:r>
        <w:rPr>
          <w:sz w:val="22"/>
          <w:szCs w:val="22"/>
        </w:rPr>
        <w:t xml:space="preserve">¿cuánto y cómo vendemos, qué categorías y canales concentran la facturación, y cuál es el ticket realmente representativo del cliente para no tomar decisiones sobre un promedio engañoso?</w:t>
      </w:r>
    </w:p>
    <w:p>
      <w:pPr>
        <w:pStyle w:val="Heading3"/>
        <w:spacing w:after="80" w:before="160"/>
      </w:pPr>
      <w:r>
        <w:rPr>
          <w:b/>
          <w:bCs/>
          <w:color w:val="1F3864"/>
          <w:sz w:val="23"/>
          <w:szCs w:val="23"/>
        </w:rPr>
        <w:t xml:space="preserve">Preguntas de investigación estadística</w:t>
      </w:r>
    </w:p>
    <w:p>
      <w:pPr>
        <w:pStyle w:val="ListParagraph"/>
        <w:numPr>
          <w:ilvl w:val="0"/>
          <w:numId w:val="1"/>
        </w:numPr>
        <w:spacing w:after="60" w:line="270"/>
      </w:pPr>
      <w:r>
        <w:rPr>
          <w:sz w:val="22"/>
          <w:szCs w:val="22"/>
        </w:rPr>
        <w:t xml:space="preserve">¿El ticket promedio representa al cliente típico o está inflado por ventas extremas? (media vs. mediana)</w:t>
      </w:r>
    </w:p>
    <w:p>
      <w:pPr>
        <w:pStyle w:val="ListParagraph"/>
        <w:numPr>
          <w:ilvl w:val="0"/>
          <w:numId w:val="1"/>
        </w:numPr>
        <w:spacing w:after="60" w:line="270"/>
      </w:pPr>
      <w:r>
        <w:rPr>
          <w:sz w:val="22"/>
          <w:szCs w:val="22"/>
        </w:rPr>
        <w:t xml:space="preserve">¿Existen valores atípicos (outliers) y son errores de datos o negocio legítimo? (método IQR)</w:t>
      </w:r>
    </w:p>
    <w:p>
      <w:pPr>
        <w:pStyle w:val="ListParagraph"/>
        <w:numPr>
          <w:ilvl w:val="0"/>
          <w:numId w:val="1"/>
        </w:numPr>
        <w:spacing w:after="60" w:line="270"/>
      </w:pPr>
      <w:r>
        <w:rPr>
          <w:sz w:val="22"/>
          <w:szCs w:val="22"/>
        </w:rPr>
        <w:t xml:space="preserve">¿Qué categorías y canales concentran la facturación y cómo evoluciona la tendencia mensual?</w:t>
      </w:r>
    </w:p>
    <w:p>
      <w:pPr>
        <w:spacing w:after="120" w:line="276"/>
      </w:pPr>
      <w:r>
        <w:rPr>
          <w:b/>
          <w:bCs/>
          <w:sz w:val="22"/>
          <w:szCs w:val="22"/>
        </w:rPr>
        <w:t xml:space="preserve">Hilo conductor: </w:t>
      </w:r>
      <w:r>
        <w:rPr>
          <w:sz w:val="22"/>
          <w:szCs w:val="22"/>
        </w:rPr>
        <w:t xml:space="preserve">la misma tabla de ventas depurada en SQL alimenta el análisis estadístico y el dashboard; ningún número del panel sale de datos sin validar.</w:t>
      </w:r>
    </w:p>
    <w:p>
      <w:pPr>
        <w:pStyle w:val="Heading1"/>
        <w:spacing w:after="120" w:before="280"/>
      </w:pPr>
      <w:r>
        <w:rPr>
          <w:b/>
          <w:bCs/>
          <w:color w:val="1F3864"/>
          <w:sz w:val="30"/>
          <w:szCs w:val="30"/>
        </w:rPr>
        <w:t xml:space="preserve">2. Descripción del dataset y fuentes</w:t>
      </w:r>
    </w:p>
    <w:p>
      <w:pPr>
        <w:spacing w:after="120" w:line="276"/>
      </w:pPr>
      <w:r>
        <w:rPr>
          <w:sz w:val="22"/>
          <w:szCs w:val="22"/>
        </w:rPr>
        <w:t xml:space="preserve">Fuente: base transaccional de TechStore consolidada en </w:t>
      </w:r>
      <w:r>
        <w:rPr>
          <w:rFonts w:ascii="Consolas" w:cs="Consolas" w:eastAsia="Consolas" w:hAnsi="Consolas"/>
          <w:sz w:val="22"/>
          <w:szCs w:val="22"/>
        </w:rPr>
        <w:t xml:space="preserve">Pipeline_ETL_Dataset.xlsx</w:t>
      </w:r>
      <w:r>
        <w:rPr>
          <w:sz w:val="22"/>
          <w:szCs w:val="22"/>
        </w:rPr>
        <w:t xml:space="preserve">, modelada como esquema en estrella. Contiene una tabla de hechos (ventas) y tablas de dimensión (clientes, productos, categorías). Volumen de la tabla de hechos: 50 operaciones ya depuradas.</w:t>
      </w:r>
    </w:p>
    <w:tbl>
      <w:tblPr>
        <w:tblW w:type="dxa" w:w="88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00"/>
        <w:gridCol w:w="4900"/>
      </w:tblGrid>
      <w:tr>
        <w:trPr>
          <w:tblHeader/>
        </w:trPr>
        <w:tc>
          <w:tcPr>
            <w:tcW w:type="dxa" w:w="2400"/>
            <w:shd w:fill="1F3864" w:color="auto" w:val="clear"/>
            <w:tcMar>
              <w:top w:type="dxa" w:w="40"/>
              <w:left w:type="dxa" w:w="90"/>
              <w:bottom w:type="dxa" w:w="40"/>
              <w:right w:type="dxa" w:w="90"/>
            </w:tcMar>
          </w:tcPr>
          <w:p>
            <w:pPr>
              <w:spacing w:after="40" w:before="40"/>
              <w:jc w:val="left"/>
            </w:pPr>
            <w:r>
              <w:rPr>
                <w:b/>
                <w:bCs/>
                <w:color w:val="FFFFFF"/>
                <w:sz w:val="19"/>
                <w:szCs w:val="19"/>
              </w:rPr>
              <w:t xml:space="preserve">Tabla</w:t>
            </w:r>
          </w:p>
        </w:tc>
        <w:tc>
          <w:tcPr>
            <w:tcW w:type="dxa" w:w="15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Filas (limpias)</w:t>
            </w:r>
          </w:p>
        </w:tc>
        <w:tc>
          <w:tcPr>
            <w:tcW w:type="dxa" w:w="49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Rol y campos clave</w:t>
            </w:r>
          </w:p>
        </w:tc>
      </w:tr>
      <w:tr>
        <w:tc>
          <w:tcPr>
            <w:tcW w:type="dxa" w:w="2400"/>
            <w:tcMar>
              <w:top w:type="dxa" w:w="40"/>
              <w:left w:type="dxa" w:w="90"/>
              <w:bottom w:type="dxa" w:w="40"/>
              <w:right w:type="dxa" w:w="90"/>
            </w:tcMar>
          </w:tcPr>
          <w:p>
            <w:pPr>
              <w:spacing w:after="40" w:before="40"/>
              <w:jc w:val="left"/>
            </w:pPr>
            <w:r>
              <w:rPr>
                <w:b/>
                <w:bCs/>
                <w:color w:val="000000"/>
                <w:sz w:val="19"/>
                <w:szCs w:val="19"/>
              </w:rPr>
              <w:t xml:space="preserve">Fact_Ventas</w:t>
            </w:r>
          </w:p>
        </w:tc>
        <w:tc>
          <w:tcPr>
            <w:tcW w:type="dxa" w:w="1500"/>
            <w:tcMar>
              <w:top w:type="dxa" w:w="40"/>
              <w:left w:type="dxa" w:w="90"/>
              <w:bottom w:type="dxa" w:w="40"/>
              <w:right w:type="dxa" w:w="90"/>
            </w:tcMar>
          </w:tcPr>
          <w:p>
            <w:pPr>
              <w:spacing w:after="40" w:before="40"/>
              <w:jc w:val="center"/>
            </w:pPr>
            <w:r>
              <w:rPr>
                <w:b w:val="false"/>
                <w:bCs w:val="false"/>
                <w:color w:val="000000"/>
                <w:sz w:val="19"/>
                <w:szCs w:val="19"/>
              </w:rPr>
              <w:t xml:space="preserve">50</w:t>
            </w:r>
          </w:p>
        </w:tc>
        <w:tc>
          <w:tcPr>
            <w:tcW w:type="dxa" w:w="4900"/>
            <w:tcMar>
              <w:top w:type="dxa" w:w="40"/>
              <w:left w:type="dxa" w:w="90"/>
              <w:bottom w:type="dxa" w:w="40"/>
              <w:right w:type="dxa" w:w="90"/>
            </w:tcMar>
          </w:tcPr>
          <w:p>
            <w:pPr>
              <w:spacing w:after="40" w:before="40"/>
              <w:jc w:val="center"/>
            </w:pPr>
            <w:r>
              <w:rPr>
                <w:b w:val="false"/>
                <w:bCs w:val="false"/>
                <w:color w:val="000000"/>
                <w:sz w:val="19"/>
                <w:szCs w:val="19"/>
              </w:rPr>
              <w:t xml:space="preserve">Hechos: id_venta (PK), id_cliente/id_producto (FK), fecha_venta, cantidad, precio_unitario, descuento, total_venta, canal</w:t>
            </w:r>
          </w:p>
        </w:tc>
      </w:tr>
      <w:tr>
        <w:tc>
          <w:tcPr>
            <w:tcW w:type="dxa" w:w="2400"/>
            <w:shd w:fill="DCE6F1" w:color="auto" w:val="clear"/>
            <w:tcMar>
              <w:top w:type="dxa" w:w="40"/>
              <w:left w:type="dxa" w:w="90"/>
              <w:bottom w:type="dxa" w:w="40"/>
              <w:right w:type="dxa" w:w="90"/>
            </w:tcMar>
          </w:tcPr>
          <w:p>
            <w:pPr>
              <w:spacing w:after="40" w:before="40"/>
              <w:jc w:val="left"/>
            </w:pPr>
            <w:r>
              <w:rPr>
                <w:b/>
                <w:bCs/>
                <w:color w:val="000000"/>
                <w:sz w:val="19"/>
                <w:szCs w:val="19"/>
              </w:rPr>
              <w:t xml:space="preserve">Dim_Clientes</w:t>
            </w:r>
          </w:p>
        </w:tc>
        <w:tc>
          <w:tcPr>
            <w:tcW w:type="dxa" w:w="15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11</w:t>
            </w:r>
          </w:p>
        </w:tc>
        <w:tc>
          <w:tcPr>
            <w:tcW w:type="dxa" w:w="49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Dimensión: id_cliente (PK), nombre, ciudad, país, canal</w:t>
            </w:r>
          </w:p>
        </w:tc>
      </w:tr>
      <w:tr>
        <w:tc>
          <w:tcPr>
            <w:tcW w:type="dxa" w:w="2400"/>
            <w:tcMar>
              <w:top w:type="dxa" w:w="40"/>
              <w:left w:type="dxa" w:w="90"/>
              <w:bottom w:type="dxa" w:w="40"/>
              <w:right w:type="dxa" w:w="90"/>
            </w:tcMar>
          </w:tcPr>
          <w:p>
            <w:pPr>
              <w:spacing w:after="40" w:before="40"/>
              <w:jc w:val="left"/>
            </w:pPr>
            <w:r>
              <w:rPr>
                <w:b/>
                <w:bCs/>
                <w:color w:val="000000"/>
                <w:sz w:val="19"/>
                <w:szCs w:val="19"/>
              </w:rPr>
              <w:t xml:space="preserve">Dim_Productos</w:t>
            </w:r>
          </w:p>
        </w:tc>
        <w:tc>
          <w:tcPr>
            <w:tcW w:type="dxa" w:w="1500"/>
            <w:tcMar>
              <w:top w:type="dxa" w:w="40"/>
              <w:left w:type="dxa" w:w="90"/>
              <w:bottom w:type="dxa" w:w="40"/>
              <w:right w:type="dxa" w:w="90"/>
            </w:tcMar>
          </w:tcPr>
          <w:p>
            <w:pPr>
              <w:spacing w:after="40" w:before="40"/>
              <w:jc w:val="center"/>
            </w:pPr>
            <w:r>
              <w:rPr>
                <w:b w:val="false"/>
                <w:bCs w:val="false"/>
                <w:color w:val="000000"/>
                <w:sz w:val="19"/>
                <w:szCs w:val="19"/>
              </w:rPr>
              <w:t xml:space="preserve">12</w:t>
            </w:r>
          </w:p>
        </w:tc>
        <w:tc>
          <w:tcPr>
            <w:tcW w:type="dxa" w:w="4900"/>
            <w:tcMar>
              <w:top w:type="dxa" w:w="40"/>
              <w:left w:type="dxa" w:w="90"/>
              <w:bottom w:type="dxa" w:w="40"/>
              <w:right w:type="dxa" w:w="90"/>
            </w:tcMar>
          </w:tcPr>
          <w:p>
            <w:pPr>
              <w:spacing w:after="40" w:before="40"/>
              <w:jc w:val="center"/>
            </w:pPr>
            <w:r>
              <w:rPr>
                <w:b w:val="false"/>
                <w:bCs w:val="false"/>
                <w:color w:val="000000"/>
                <w:sz w:val="19"/>
                <w:szCs w:val="19"/>
              </w:rPr>
              <w:t xml:space="preserve">Dimensión: id_producto (PK), nombre, categoría, precio, stock</w:t>
            </w:r>
          </w:p>
        </w:tc>
      </w:tr>
      <w:tr>
        <w:tc>
          <w:tcPr>
            <w:tcW w:type="dxa" w:w="2400"/>
            <w:shd w:fill="DCE6F1" w:color="auto" w:val="clear"/>
            <w:tcMar>
              <w:top w:type="dxa" w:w="40"/>
              <w:left w:type="dxa" w:w="90"/>
              <w:bottom w:type="dxa" w:w="40"/>
              <w:right w:type="dxa" w:w="90"/>
            </w:tcMar>
          </w:tcPr>
          <w:p>
            <w:pPr>
              <w:spacing w:after="40" w:before="40"/>
              <w:jc w:val="left"/>
            </w:pPr>
            <w:r>
              <w:rPr>
                <w:b/>
                <w:bCs/>
                <w:color w:val="000000"/>
                <w:sz w:val="19"/>
                <w:szCs w:val="19"/>
              </w:rPr>
              <w:t xml:space="preserve">Dim_Categorias</w:t>
            </w:r>
          </w:p>
        </w:tc>
        <w:tc>
          <w:tcPr>
            <w:tcW w:type="dxa" w:w="15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4</w:t>
            </w:r>
          </w:p>
        </w:tc>
        <w:tc>
          <w:tcPr>
            <w:tcW w:type="dxa" w:w="49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Dimensión: id_categoria (PK), nombre_categoria</w:t>
            </w:r>
          </w:p>
        </w:tc>
      </w:tr>
    </w:tbl>
    <w:p>
      <w:pPr>
        <w:spacing w:after="160" w:before="40"/>
        <w:jc w:val="center"/>
      </w:pPr>
      <w:r>
        <w:rPr>
          <w:i/>
          <w:iCs/>
          <w:color w:val="595959"/>
          <w:sz w:val="17"/>
          <w:szCs w:val="17"/>
        </w:rPr>
        <w:t xml:space="preserve">Tabla 1. Fuentes de datos del proyecto RetailPro.</w:t>
      </w:r>
    </w:p>
    <w:p>
      <w:pPr>
        <w:pStyle w:val="Heading1"/>
        <w:spacing w:after="120" w:before="280"/>
      </w:pPr>
      <w:r>
        <w:rPr>
          <w:b/>
          <w:bCs/>
          <w:color w:val="1F3864"/>
          <w:sz w:val="30"/>
          <w:szCs w:val="30"/>
        </w:rPr>
        <w:t xml:space="preserve">3. Análisis exploratorio de datos (EDA)</w:t>
      </w:r>
    </w:p>
    <w:p>
      <w:pPr>
        <w:spacing w:after="120" w:line="276"/>
      </w:pPr>
      <w:r>
        <w:rPr>
          <w:sz w:val="22"/>
          <w:szCs w:val="22"/>
        </w:rPr>
        <w:t xml:space="preserve">Se validó estadísticamente la columna </w:t>
      </w:r>
      <w:r>
        <w:rPr>
          <w:rFonts w:ascii="Consolas" w:cs="Consolas" w:eastAsia="Consolas" w:hAnsi="Consolas"/>
          <w:sz w:val="22"/>
          <w:szCs w:val="22"/>
        </w:rPr>
        <w:t xml:space="preserve">total_venta</w:t>
      </w:r>
      <w:r>
        <w:rPr>
          <w:sz w:val="22"/>
          <w:szCs w:val="22"/>
        </w:rPr>
        <w:t xml:space="preserve"> (n = 50) para verificar que los KPIs sean confiables. Resultado principal: la distribución está sesgada a la derecha, por lo que la media sobreestima el ticket típico.</w:t>
      </w:r>
    </w:p>
    <w:tbl>
      <w:tblPr>
        <w:tblW w:type="dxa" w:w="880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2000"/>
        <w:gridCol w:w="3400"/>
      </w:tblGrid>
      <w:tr>
        <w:trPr>
          <w:tblHeader/>
        </w:trPr>
        <w:tc>
          <w:tcPr>
            <w:tcW w:type="dxa" w:w="3400"/>
            <w:shd w:fill="1F3864" w:color="auto" w:val="clear"/>
            <w:tcMar>
              <w:top w:type="dxa" w:w="40"/>
              <w:left w:type="dxa" w:w="90"/>
              <w:bottom w:type="dxa" w:w="40"/>
              <w:right w:type="dxa" w:w="90"/>
            </w:tcMar>
          </w:tcPr>
          <w:p>
            <w:pPr>
              <w:spacing w:after="40" w:before="40"/>
              <w:jc w:val="left"/>
            </w:pPr>
            <w:r>
              <w:rPr>
                <w:b/>
                <w:bCs/>
                <w:color w:val="FFFFFF"/>
                <w:sz w:val="19"/>
                <w:szCs w:val="19"/>
              </w:rPr>
              <w:t xml:space="preserve">Medida</w:t>
            </w:r>
          </w:p>
        </w:tc>
        <w:tc>
          <w:tcPr>
            <w:tcW w:type="dxa" w:w="20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Valor (USD)</w:t>
            </w:r>
          </w:p>
        </w:tc>
        <w:tc>
          <w:tcPr>
            <w:tcW w:type="dxa" w:w="34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Lectura</w:t>
            </w:r>
          </w:p>
        </w:tc>
      </w:tr>
      <w:tr>
        <w:tc>
          <w:tcPr>
            <w:tcW w:type="dxa" w:w="3400"/>
            <w:tcMar>
              <w:top w:type="dxa" w:w="40"/>
              <w:left w:type="dxa" w:w="90"/>
              <w:bottom w:type="dxa" w:w="40"/>
              <w:right w:type="dxa" w:w="90"/>
            </w:tcMar>
          </w:tcPr>
          <w:p>
            <w:pPr>
              <w:spacing w:after="40" w:before="40"/>
              <w:jc w:val="left"/>
            </w:pPr>
            <w:r>
              <w:rPr>
                <w:b/>
                <w:bCs/>
                <w:color w:val="000000"/>
                <w:sz w:val="19"/>
                <w:szCs w:val="19"/>
              </w:rPr>
              <w:t xml:space="preserve">Media (AVG)</w:t>
            </w:r>
          </w:p>
        </w:tc>
        <w:tc>
          <w:tcPr>
            <w:tcW w:type="dxa" w:w="2000"/>
            <w:tcMar>
              <w:top w:type="dxa" w:w="40"/>
              <w:left w:type="dxa" w:w="90"/>
              <w:bottom w:type="dxa" w:w="40"/>
              <w:right w:type="dxa" w:w="90"/>
            </w:tcMar>
          </w:tcPr>
          <w:p>
            <w:pPr>
              <w:spacing w:after="40" w:before="40"/>
              <w:jc w:val="center"/>
            </w:pPr>
            <w:r>
              <w:rPr>
                <w:b w:val="false"/>
                <w:bCs w:val="false"/>
                <w:color w:val="000000"/>
                <w:sz w:val="19"/>
                <w:szCs w:val="19"/>
              </w:rPr>
              <w:t xml:space="preserve">528,46</w:t>
            </w:r>
          </w:p>
        </w:tc>
        <w:tc>
          <w:tcPr>
            <w:tcW w:type="dxa" w:w="3400"/>
            <w:tcMar>
              <w:top w:type="dxa" w:w="40"/>
              <w:left w:type="dxa" w:w="90"/>
              <w:bottom w:type="dxa" w:w="40"/>
              <w:right w:type="dxa" w:w="90"/>
            </w:tcMar>
          </w:tcPr>
          <w:p>
            <w:pPr>
              <w:spacing w:after="40" w:before="40"/>
              <w:jc w:val="center"/>
            </w:pPr>
            <w:r>
              <w:rPr>
                <w:b w:val="false"/>
                <w:bCs w:val="false"/>
                <w:color w:val="000000"/>
                <w:sz w:val="19"/>
                <w:szCs w:val="19"/>
              </w:rPr>
              <w:t xml:space="preserve">Promedio aritmético</w:t>
            </w:r>
          </w:p>
        </w:tc>
      </w:tr>
      <w:tr>
        <w:tc>
          <w:tcPr>
            <w:tcW w:type="dxa" w:w="3400"/>
            <w:shd w:fill="DCE6F1" w:color="auto" w:val="clear"/>
            <w:tcMar>
              <w:top w:type="dxa" w:w="40"/>
              <w:left w:type="dxa" w:w="90"/>
              <w:bottom w:type="dxa" w:w="40"/>
              <w:right w:type="dxa" w:w="90"/>
            </w:tcMar>
          </w:tcPr>
          <w:p>
            <w:pPr>
              <w:spacing w:after="40" w:before="40"/>
              <w:jc w:val="left"/>
            </w:pPr>
            <w:r>
              <w:rPr>
                <w:b/>
                <w:bCs/>
                <w:color w:val="000000"/>
                <w:sz w:val="19"/>
                <w:szCs w:val="19"/>
              </w:rPr>
              <w:t xml:space="preserve">Mediana (P50)</w:t>
            </w:r>
          </w:p>
        </w:tc>
        <w:tc>
          <w:tcPr>
            <w:tcW w:type="dxa" w:w="20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370,01</w:t>
            </w:r>
          </w:p>
        </w:tc>
        <w:tc>
          <w:tcPr>
            <w:tcW w:type="dxa" w:w="34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Ticket central / típico</w:t>
            </w:r>
          </w:p>
        </w:tc>
      </w:tr>
      <w:tr>
        <w:tc>
          <w:tcPr>
            <w:tcW w:type="dxa" w:w="3400"/>
            <w:tcMar>
              <w:top w:type="dxa" w:w="40"/>
              <w:left w:type="dxa" w:w="90"/>
              <w:bottom w:type="dxa" w:w="40"/>
              <w:right w:type="dxa" w:w="90"/>
            </w:tcMar>
          </w:tcPr>
          <w:p>
            <w:pPr>
              <w:spacing w:after="40" w:before="40"/>
              <w:jc w:val="left"/>
            </w:pPr>
            <w:r>
              <w:rPr>
                <w:b/>
                <w:bCs/>
                <w:color w:val="000000"/>
                <w:sz w:val="19"/>
                <w:szCs w:val="19"/>
              </w:rPr>
              <w:t xml:space="preserve">Desv. est. muestral</w:t>
            </w:r>
          </w:p>
        </w:tc>
        <w:tc>
          <w:tcPr>
            <w:tcW w:type="dxa" w:w="2000"/>
            <w:tcMar>
              <w:top w:type="dxa" w:w="40"/>
              <w:left w:type="dxa" w:w="90"/>
              <w:bottom w:type="dxa" w:w="40"/>
              <w:right w:type="dxa" w:w="90"/>
            </w:tcMar>
          </w:tcPr>
          <w:p>
            <w:pPr>
              <w:spacing w:after="40" w:before="40"/>
              <w:jc w:val="center"/>
            </w:pPr>
            <w:r>
              <w:rPr>
                <w:b w:val="false"/>
                <w:bCs w:val="false"/>
                <w:color w:val="000000"/>
                <w:sz w:val="19"/>
                <w:szCs w:val="19"/>
              </w:rPr>
              <w:t xml:space="preserve">617,42</w:t>
            </w:r>
          </w:p>
        </w:tc>
        <w:tc>
          <w:tcPr>
            <w:tcW w:type="dxa" w:w="3400"/>
            <w:tcMar>
              <w:top w:type="dxa" w:w="40"/>
              <w:left w:type="dxa" w:w="90"/>
              <w:bottom w:type="dxa" w:w="40"/>
              <w:right w:type="dxa" w:w="90"/>
            </w:tcMar>
          </w:tcPr>
          <w:p>
            <w:pPr>
              <w:spacing w:after="40" w:before="40"/>
              <w:jc w:val="center"/>
            </w:pPr>
            <w:r>
              <w:rPr>
                <w:b w:val="false"/>
                <w:bCs w:val="false"/>
                <w:color w:val="000000"/>
                <w:sz w:val="19"/>
                <w:szCs w:val="19"/>
              </w:rPr>
              <w:t xml:space="preserve">Dispersión alta</w:t>
            </w:r>
          </w:p>
        </w:tc>
      </w:tr>
      <w:tr>
        <w:tc>
          <w:tcPr>
            <w:tcW w:type="dxa" w:w="3400"/>
            <w:shd w:fill="DCE6F1" w:color="auto" w:val="clear"/>
            <w:tcMar>
              <w:top w:type="dxa" w:w="40"/>
              <w:left w:type="dxa" w:w="90"/>
              <w:bottom w:type="dxa" w:w="40"/>
              <w:right w:type="dxa" w:w="90"/>
            </w:tcMar>
          </w:tcPr>
          <w:p>
            <w:pPr>
              <w:spacing w:after="40" w:before="40"/>
              <w:jc w:val="left"/>
            </w:pPr>
            <w:r>
              <w:rPr>
                <w:b/>
                <w:bCs/>
                <w:color w:val="000000"/>
                <w:sz w:val="19"/>
                <w:szCs w:val="19"/>
              </w:rPr>
              <w:t xml:space="preserve">Q1 / Q3</w:t>
            </w:r>
          </w:p>
        </w:tc>
        <w:tc>
          <w:tcPr>
            <w:tcW w:type="dxa" w:w="20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179,61 / 739,80</w:t>
            </w:r>
          </w:p>
        </w:tc>
        <w:tc>
          <w:tcPr>
            <w:tcW w:type="dxa" w:w="34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Rango intercuartílico</w:t>
            </w:r>
          </w:p>
        </w:tc>
      </w:tr>
      <w:tr>
        <w:tc>
          <w:tcPr>
            <w:tcW w:type="dxa" w:w="3400"/>
            <w:tcMar>
              <w:top w:type="dxa" w:w="40"/>
              <w:left w:type="dxa" w:w="90"/>
              <w:bottom w:type="dxa" w:w="40"/>
              <w:right w:type="dxa" w:w="90"/>
            </w:tcMar>
          </w:tcPr>
          <w:p>
            <w:pPr>
              <w:spacing w:after="40" w:before="40"/>
              <w:jc w:val="left"/>
            </w:pPr>
            <w:r>
              <w:rPr>
                <w:b/>
                <w:bCs/>
                <w:color w:val="000000"/>
                <w:sz w:val="19"/>
                <w:szCs w:val="19"/>
              </w:rPr>
              <w:t xml:space="preserve">IQR</w:t>
            </w:r>
          </w:p>
        </w:tc>
        <w:tc>
          <w:tcPr>
            <w:tcW w:type="dxa" w:w="2000"/>
            <w:tcMar>
              <w:top w:type="dxa" w:w="40"/>
              <w:left w:type="dxa" w:w="90"/>
              <w:bottom w:type="dxa" w:w="40"/>
              <w:right w:type="dxa" w:w="90"/>
            </w:tcMar>
          </w:tcPr>
          <w:p>
            <w:pPr>
              <w:spacing w:after="40" w:before="40"/>
              <w:jc w:val="center"/>
            </w:pPr>
            <w:r>
              <w:rPr>
                <w:b w:val="false"/>
                <w:bCs w:val="false"/>
                <w:color w:val="000000"/>
                <w:sz w:val="19"/>
                <w:szCs w:val="19"/>
              </w:rPr>
              <w:t xml:space="preserve">560,19</w:t>
            </w:r>
          </w:p>
        </w:tc>
        <w:tc>
          <w:tcPr>
            <w:tcW w:type="dxa" w:w="3400"/>
            <w:tcMar>
              <w:top w:type="dxa" w:w="40"/>
              <w:left w:type="dxa" w:w="90"/>
              <w:bottom w:type="dxa" w:w="40"/>
              <w:right w:type="dxa" w:w="90"/>
            </w:tcMar>
          </w:tcPr>
          <w:p>
            <w:pPr>
              <w:spacing w:after="40" w:before="40"/>
              <w:jc w:val="center"/>
            </w:pPr>
            <w:r>
              <w:rPr>
                <w:b w:val="false"/>
                <w:bCs w:val="false"/>
                <w:color w:val="000000"/>
                <w:sz w:val="19"/>
                <w:szCs w:val="19"/>
              </w:rPr>
              <w:t xml:space="preserve">Q3 − Q1</w:t>
            </w:r>
          </w:p>
        </w:tc>
      </w:tr>
      <w:tr>
        <w:tc>
          <w:tcPr>
            <w:tcW w:type="dxa" w:w="3400"/>
            <w:shd w:fill="DCE6F1" w:color="auto" w:val="clear"/>
            <w:tcMar>
              <w:top w:type="dxa" w:w="40"/>
              <w:left w:type="dxa" w:w="90"/>
              <w:bottom w:type="dxa" w:w="40"/>
              <w:right w:type="dxa" w:w="90"/>
            </w:tcMar>
          </w:tcPr>
          <w:p>
            <w:pPr>
              <w:spacing w:after="40" w:before="40"/>
              <w:jc w:val="left"/>
            </w:pPr>
            <w:r>
              <w:rPr>
                <w:b/>
                <w:bCs/>
                <w:color w:val="000000"/>
                <w:sz w:val="19"/>
                <w:szCs w:val="19"/>
              </w:rPr>
              <w:t xml:space="preserve">Límite superior (outlier)</w:t>
            </w:r>
          </w:p>
        </w:tc>
        <w:tc>
          <w:tcPr>
            <w:tcW w:type="dxa" w:w="20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1.580,08</w:t>
            </w:r>
          </w:p>
        </w:tc>
        <w:tc>
          <w:tcPr>
            <w:tcW w:type="dxa" w:w="34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Q3 + 1,5·IQR</w:t>
            </w:r>
          </w:p>
        </w:tc>
      </w:tr>
    </w:tbl>
    <w:p>
      <w:pPr>
        <w:spacing w:after="160" w:before="40"/>
        <w:jc w:val="center"/>
      </w:pPr>
      <w:r>
        <w:rPr>
          <w:i/>
          <w:iCs/>
          <w:color w:val="595959"/>
          <w:sz w:val="17"/>
          <w:szCs w:val="17"/>
        </w:rPr>
        <w:t xml:space="preserve">Tabla 2. Estadísticos descriptivos de total_venta.</w:t>
      </w:r>
    </w:p>
    <w:p>
      <w:pPr>
        <w:spacing w:after="120" w:line="276"/>
      </w:pPr>
      <w:r>
        <w:rPr>
          <w:sz w:val="22"/>
          <w:szCs w:val="22"/>
        </w:rPr>
        <w:t xml:space="preserve">La media supera a la mediana en un 43 %. Se detectaron </w:t>
      </w:r>
      <w:r>
        <w:rPr>
          <w:b/>
          <w:bCs/>
          <w:sz w:val="22"/>
          <w:szCs w:val="22"/>
        </w:rPr>
        <w:t xml:space="preserve">4 outliers (ids 9, 22, 37, 45: 1.700 · 1.596 · 3.682 · 1.748,95)</w:t>
      </w:r>
      <w:r>
        <w:rPr>
          <w:sz w:val="22"/>
          <w:szCs w:val="22"/>
        </w:rPr>
        <w:t xml:space="preserve">: todos son ventas legítimas de productos caros (notebooks y un smartphone en cantidades de 2–4), no errores de carga. Representan el 8 % de las operaciones pero el 33 % de la facturación. </w:t>
      </w:r>
      <w:r>
        <w:rPr>
          <w:b/>
          <w:bCs/>
          <w:sz w:val="22"/>
          <w:szCs w:val="22"/>
        </w:rPr>
        <w:t xml:space="preserve">Conclusión de EDA: se reporta media y mediana juntas; el KPI de ticket promedio no debe leerse solo.</w:t>
      </w:r>
    </w:p>
    <w:p>
      <w:r>
        <w:br w:type="page"/>
      </w:r>
    </w:p>
    <w:p>
      <w:pPr>
        <w:pStyle w:val="Heading1"/>
        <w:spacing w:after="120" w:before="280"/>
      </w:pPr>
      <w:r>
        <w:rPr>
          <w:b/>
          <w:bCs/>
          <w:color w:val="1F3864"/>
          <w:sz w:val="30"/>
          <w:szCs w:val="30"/>
        </w:rPr>
        <w:t xml:space="preserve">Sección 1 — Preguntas teóricas</w:t>
      </w:r>
    </w:p>
    <w:p>
      <w:pPr>
        <w:pStyle w:val="Heading2"/>
        <w:spacing w:after="100" w:before="220"/>
      </w:pPr>
      <w:r>
        <w:rPr>
          <w:b/>
          <w:bCs/>
          <w:color w:val="2E74B5"/>
          <w:sz w:val="26"/>
          <w:szCs w:val="26"/>
        </w:rPr>
        <w:t xml:space="preserve">1.1 Diferencia entre datos e información</w:t>
      </w:r>
    </w:p>
    <w:p>
      <w:pPr>
        <w:spacing w:after="120" w:line="276"/>
      </w:pPr>
      <w:r>
        <w:rPr>
          <w:sz w:val="22"/>
          <w:szCs w:val="22"/>
        </w:rPr>
        <w:t xml:space="preserve">Los </w:t>
      </w:r>
      <w:r>
        <w:rPr>
          <w:b/>
          <w:bCs/>
          <w:sz w:val="22"/>
          <w:szCs w:val="22"/>
        </w:rPr>
        <w:t xml:space="preserve">datos</w:t>
      </w:r>
      <w:r>
        <w:rPr>
          <w:sz w:val="22"/>
          <w:szCs w:val="22"/>
        </w:rPr>
        <w:t xml:space="preserve"> son hechos crudos, sin procesar ni contexto (por ejemplo, la lista de 50 valores de total_venta). La </w:t>
      </w:r>
      <w:r>
        <w:rPr>
          <w:b/>
          <w:bCs/>
          <w:sz w:val="22"/>
          <w:szCs w:val="22"/>
        </w:rPr>
        <w:t xml:space="preserve">información</w:t>
      </w:r>
      <w:r>
        <w:rPr>
          <w:sz w:val="22"/>
          <w:szCs w:val="22"/>
        </w:rPr>
        <w:t xml:space="preserve"> es el resultado de procesar, relacionar e interpretar esos datos para darles significado (por ejemplo: “el ticket típico es de $370 y el 33 % de la facturación viene de 4 ventas de alto valor”). </w:t>
      </w:r>
    </w:p>
    <w:p>
      <w:pPr>
        <w:spacing w:after="120" w:line="276"/>
      </w:pPr>
      <w:r>
        <w:rPr>
          <w:sz w:val="22"/>
          <w:szCs w:val="22"/>
        </w:rPr>
        <w:t xml:space="preserve">Importa para la toma de decisiones porque un directivo no puede actuar sobre datos sueltos: necesita información que responda “¿y ahora qué hacemos?”. Un dato mal interpretado (leer solo la media de $528) lleva a una decisión equivocada; la información contextualizada (media vs. mediana) lleva a una decisión correcta.</w:t>
      </w:r>
    </w:p>
    <w:p>
      <w:pPr>
        <w:pStyle w:val="Heading2"/>
        <w:spacing w:after="100" w:before="220"/>
      </w:pPr>
      <w:r>
        <w:rPr>
          <w:b/>
          <w:bCs/>
          <w:color w:val="2E74B5"/>
          <w:sz w:val="26"/>
          <w:szCs w:val="26"/>
        </w:rPr>
        <w:t xml:space="preserve">1.2 Sublenguajes de SQL</w:t>
      </w:r>
    </w:p>
    <w:tbl>
      <w:tblPr>
        <w:tblW w:type="dxa" w:w="88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2600"/>
        <w:gridCol w:w="4700"/>
      </w:tblGrid>
      <w:tr>
        <w:trPr>
          <w:tblHeader/>
        </w:trPr>
        <w:tc>
          <w:tcPr>
            <w:tcW w:type="dxa" w:w="1500"/>
            <w:shd w:fill="1F3864" w:color="auto" w:val="clear"/>
            <w:tcMar>
              <w:top w:type="dxa" w:w="40"/>
              <w:left w:type="dxa" w:w="90"/>
              <w:bottom w:type="dxa" w:w="40"/>
              <w:right w:type="dxa" w:w="90"/>
            </w:tcMar>
          </w:tcPr>
          <w:p>
            <w:pPr>
              <w:spacing w:after="40" w:before="40"/>
              <w:jc w:val="left"/>
            </w:pPr>
            <w:r>
              <w:rPr>
                <w:b/>
                <w:bCs/>
                <w:color w:val="FFFFFF"/>
                <w:sz w:val="19"/>
                <w:szCs w:val="19"/>
              </w:rPr>
              <w:t xml:space="preserve">Sublenguaje</w:t>
            </w:r>
          </w:p>
        </w:tc>
        <w:tc>
          <w:tcPr>
            <w:tcW w:type="dxa" w:w="26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Sentencias</w:t>
            </w:r>
          </w:p>
        </w:tc>
        <w:tc>
          <w:tcPr>
            <w:tcW w:type="dxa" w:w="47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Función principal</w:t>
            </w:r>
          </w:p>
        </w:tc>
      </w:tr>
      <w:tr>
        <w:tc>
          <w:tcPr>
            <w:tcW w:type="dxa" w:w="1500"/>
            <w:tcMar>
              <w:top w:type="dxa" w:w="40"/>
              <w:left w:type="dxa" w:w="90"/>
              <w:bottom w:type="dxa" w:w="40"/>
              <w:right w:type="dxa" w:w="90"/>
            </w:tcMar>
          </w:tcPr>
          <w:p>
            <w:pPr>
              <w:spacing w:after="40" w:before="40"/>
              <w:jc w:val="left"/>
            </w:pPr>
            <w:r>
              <w:rPr>
                <w:b/>
                <w:bCs/>
                <w:color w:val="000000"/>
                <w:sz w:val="19"/>
                <w:szCs w:val="19"/>
              </w:rPr>
              <w:t xml:space="preserve">DDL</w:t>
            </w:r>
          </w:p>
        </w:tc>
        <w:tc>
          <w:tcPr>
            <w:tcW w:type="dxa" w:w="2600"/>
            <w:tcMar>
              <w:top w:type="dxa" w:w="40"/>
              <w:left w:type="dxa" w:w="90"/>
              <w:bottom w:type="dxa" w:w="40"/>
              <w:right w:type="dxa" w:w="90"/>
            </w:tcMar>
          </w:tcPr>
          <w:p>
            <w:pPr>
              <w:spacing w:after="40" w:before="40"/>
              <w:jc w:val="center"/>
            </w:pPr>
            <w:r>
              <w:rPr>
                <w:b w:val="false"/>
                <w:bCs w:val="false"/>
                <w:color w:val="000000"/>
                <w:sz w:val="19"/>
                <w:szCs w:val="19"/>
              </w:rPr>
              <w:t xml:space="preserve">CREATE, ALTER, DROP, TRUNCATE</w:t>
            </w:r>
          </w:p>
        </w:tc>
        <w:tc>
          <w:tcPr>
            <w:tcW w:type="dxa" w:w="4700"/>
            <w:tcMar>
              <w:top w:type="dxa" w:w="40"/>
              <w:left w:type="dxa" w:w="90"/>
              <w:bottom w:type="dxa" w:w="40"/>
              <w:right w:type="dxa" w:w="90"/>
            </w:tcMar>
          </w:tcPr>
          <w:p>
            <w:pPr>
              <w:spacing w:after="40" w:before="40"/>
              <w:jc w:val="center"/>
            </w:pPr>
            <w:r>
              <w:rPr>
                <w:b w:val="false"/>
                <w:bCs w:val="false"/>
                <w:color w:val="000000"/>
                <w:sz w:val="19"/>
                <w:szCs w:val="19"/>
              </w:rPr>
              <w:t xml:space="preserve">Definir y modificar la estructura de la base (tablas, índices, esquemas).</w:t>
            </w:r>
          </w:p>
        </w:tc>
      </w:tr>
      <w:tr>
        <w:tc>
          <w:tcPr>
            <w:tcW w:type="dxa" w:w="1500"/>
            <w:shd w:fill="DCE6F1" w:color="auto" w:val="clear"/>
            <w:tcMar>
              <w:top w:type="dxa" w:w="40"/>
              <w:left w:type="dxa" w:w="90"/>
              <w:bottom w:type="dxa" w:w="40"/>
              <w:right w:type="dxa" w:w="90"/>
            </w:tcMar>
          </w:tcPr>
          <w:p>
            <w:pPr>
              <w:spacing w:after="40" w:before="40"/>
              <w:jc w:val="left"/>
            </w:pPr>
            <w:r>
              <w:rPr>
                <w:b/>
                <w:bCs/>
                <w:color w:val="000000"/>
                <w:sz w:val="19"/>
                <w:szCs w:val="19"/>
              </w:rPr>
              <w:t xml:space="preserve">DML</w:t>
            </w:r>
          </w:p>
        </w:tc>
        <w:tc>
          <w:tcPr>
            <w:tcW w:type="dxa" w:w="26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SELECT, INSERT, UPDATE, DELETE</w:t>
            </w:r>
          </w:p>
        </w:tc>
        <w:tc>
          <w:tcPr>
            <w:tcW w:type="dxa" w:w="47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Manipular y consultar los datos dentro de las tablas.</w:t>
            </w:r>
          </w:p>
        </w:tc>
      </w:tr>
      <w:tr>
        <w:tc>
          <w:tcPr>
            <w:tcW w:type="dxa" w:w="1500"/>
            <w:tcMar>
              <w:top w:type="dxa" w:w="40"/>
              <w:left w:type="dxa" w:w="90"/>
              <w:bottom w:type="dxa" w:w="40"/>
              <w:right w:type="dxa" w:w="90"/>
            </w:tcMar>
          </w:tcPr>
          <w:p>
            <w:pPr>
              <w:spacing w:after="40" w:before="40"/>
              <w:jc w:val="left"/>
            </w:pPr>
            <w:r>
              <w:rPr>
                <w:b/>
                <w:bCs/>
                <w:color w:val="000000"/>
                <w:sz w:val="19"/>
                <w:szCs w:val="19"/>
              </w:rPr>
              <w:t xml:space="preserve">DCL</w:t>
            </w:r>
          </w:p>
        </w:tc>
        <w:tc>
          <w:tcPr>
            <w:tcW w:type="dxa" w:w="2600"/>
            <w:tcMar>
              <w:top w:type="dxa" w:w="40"/>
              <w:left w:type="dxa" w:w="90"/>
              <w:bottom w:type="dxa" w:w="40"/>
              <w:right w:type="dxa" w:w="90"/>
            </w:tcMar>
          </w:tcPr>
          <w:p>
            <w:pPr>
              <w:spacing w:after="40" w:before="40"/>
              <w:jc w:val="center"/>
            </w:pPr>
            <w:r>
              <w:rPr>
                <w:b w:val="false"/>
                <w:bCs w:val="false"/>
                <w:color w:val="000000"/>
                <w:sz w:val="19"/>
                <w:szCs w:val="19"/>
              </w:rPr>
              <w:t xml:space="preserve">GRANT, REVOKE</w:t>
            </w:r>
          </w:p>
        </w:tc>
        <w:tc>
          <w:tcPr>
            <w:tcW w:type="dxa" w:w="4700"/>
            <w:tcMar>
              <w:top w:type="dxa" w:w="40"/>
              <w:left w:type="dxa" w:w="90"/>
              <w:bottom w:type="dxa" w:w="40"/>
              <w:right w:type="dxa" w:w="90"/>
            </w:tcMar>
          </w:tcPr>
          <w:p>
            <w:pPr>
              <w:spacing w:after="40" w:before="40"/>
              <w:jc w:val="center"/>
            </w:pPr>
            <w:r>
              <w:rPr>
                <w:b w:val="false"/>
                <w:bCs w:val="false"/>
                <w:color w:val="000000"/>
                <w:sz w:val="19"/>
                <w:szCs w:val="19"/>
              </w:rPr>
              <w:t xml:space="preserve">Controlar permisos y accesos de los usuarios a los objetos de la base.</w:t>
            </w:r>
          </w:p>
        </w:tc>
      </w:tr>
      <w:tr>
        <w:tc>
          <w:tcPr>
            <w:tcW w:type="dxa" w:w="1500"/>
            <w:shd w:fill="DCE6F1" w:color="auto" w:val="clear"/>
            <w:tcMar>
              <w:top w:type="dxa" w:w="40"/>
              <w:left w:type="dxa" w:w="90"/>
              <w:bottom w:type="dxa" w:w="40"/>
              <w:right w:type="dxa" w:w="90"/>
            </w:tcMar>
          </w:tcPr>
          <w:p>
            <w:pPr>
              <w:spacing w:after="40" w:before="40"/>
              <w:jc w:val="left"/>
            </w:pPr>
            <w:r>
              <w:rPr>
                <w:b/>
                <w:bCs/>
                <w:color w:val="000000"/>
                <w:sz w:val="19"/>
                <w:szCs w:val="19"/>
              </w:rPr>
              <w:t xml:space="preserve">TCL</w:t>
            </w:r>
          </w:p>
        </w:tc>
        <w:tc>
          <w:tcPr>
            <w:tcW w:type="dxa" w:w="26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COMMIT, ROLLBACK, SAVEPOINT</w:t>
            </w:r>
          </w:p>
        </w:tc>
        <w:tc>
          <w:tcPr>
            <w:tcW w:type="dxa" w:w="47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Gestionar transacciones para garantizar la integridad de los cambios.</w:t>
            </w:r>
          </w:p>
        </w:tc>
      </w:tr>
    </w:tbl>
    <w:p>
      <w:pPr>
        <w:spacing w:after="160" w:before="40"/>
        <w:jc w:val="center"/>
      </w:pPr>
      <w:r>
        <w:rPr>
          <w:i/>
          <w:iCs/>
          <w:color w:val="595959"/>
          <w:sz w:val="17"/>
          <w:szCs w:val="17"/>
        </w:rPr>
        <w:t xml:space="preserve">Tabla 3. Sublenguajes de SQL. (Nota: SELECT se clasifica a veces como DQL, subconjunto de DML.)</w:t>
      </w:r>
    </w:p>
    <w:p>
      <w:pPr>
        <w:pStyle w:val="Heading2"/>
        <w:spacing w:after="100" w:before="220"/>
      </w:pPr>
      <w:r>
        <w:rPr>
          <w:b/>
          <w:bCs/>
          <w:color w:val="2E74B5"/>
          <w:sz w:val="26"/>
          <w:szCs w:val="26"/>
        </w:rPr>
        <w:t xml:space="preserve">1.3 La IA como complemento del análisis de datos</w:t>
      </w:r>
    </w:p>
    <w:p>
      <w:pPr>
        <w:spacing w:after="120" w:line="276"/>
      </w:pPr>
      <w:r>
        <w:rPr>
          <w:sz w:val="22"/>
          <w:szCs w:val="22"/>
        </w:rPr>
        <w:t xml:space="preserve">La inteligencia artificial no reemplaza al analista, lo potencia en varias etapas:</w:t>
      </w:r>
    </w:p>
    <w:p>
      <w:pPr>
        <w:pStyle w:val="ListParagraph"/>
        <w:numPr>
          <w:ilvl w:val="0"/>
          <w:numId w:val="1"/>
        </w:numPr>
        <w:spacing w:after="60" w:line="270"/>
      </w:pPr>
      <w:r>
        <w:rPr>
          <w:b/>
          <w:bCs/>
          <w:sz w:val="22"/>
          <w:szCs w:val="22"/>
        </w:rPr>
        <w:t xml:space="preserve">Preparación: </w:t>
      </w:r>
      <w:r>
        <w:rPr>
          <w:sz w:val="22"/>
          <w:szCs w:val="22"/>
        </w:rPr>
        <w:t xml:space="preserve">detección automática de valores atípicos, imputación de nulos y sugerencias de limpieza.</w:t>
      </w:r>
    </w:p>
    <w:p>
      <w:pPr>
        <w:pStyle w:val="ListParagraph"/>
        <w:numPr>
          <w:ilvl w:val="0"/>
          <w:numId w:val="1"/>
        </w:numPr>
        <w:spacing w:after="60" w:line="270"/>
      </w:pPr>
      <w:r>
        <w:rPr>
          <w:b/>
          <w:bCs/>
          <w:sz w:val="22"/>
          <w:szCs w:val="22"/>
        </w:rPr>
        <w:t xml:space="preserve">Análisis predictivo: </w:t>
      </w:r>
      <w:r>
        <w:rPr>
          <w:sz w:val="22"/>
          <w:szCs w:val="22"/>
        </w:rPr>
        <w:t xml:space="preserve">modelos de forecast de ventas, segmentación de clientes (clustering) o probabilidad de abandono (churn).</w:t>
      </w:r>
    </w:p>
    <w:p>
      <w:pPr>
        <w:pStyle w:val="ListParagraph"/>
        <w:numPr>
          <w:ilvl w:val="0"/>
          <w:numId w:val="1"/>
        </w:numPr>
        <w:spacing w:after="60" w:line="270"/>
      </w:pPr>
      <w:r>
        <w:rPr>
          <w:b/>
          <w:bCs/>
          <w:sz w:val="22"/>
          <w:szCs w:val="22"/>
        </w:rPr>
        <w:t xml:space="preserve">Lenguaje natural: </w:t>
      </w:r>
      <w:r>
        <w:rPr>
          <w:sz w:val="22"/>
          <w:szCs w:val="22"/>
        </w:rPr>
        <w:t xml:space="preserve">preguntas tipo Q&amp;A sobre el dashboard (“¿ventas de Notebooks el último trimestre?”) y generación de resúmenes narrativos automáticos de los insights.</w:t>
      </w:r>
    </w:p>
    <w:p>
      <w:pPr>
        <w:pStyle w:val="ListParagraph"/>
        <w:numPr>
          <w:ilvl w:val="0"/>
          <w:numId w:val="1"/>
        </w:numPr>
        <w:spacing w:after="60" w:line="270"/>
      </w:pPr>
      <w:r>
        <w:rPr>
          <w:b/>
          <w:bCs/>
          <w:sz w:val="22"/>
          <w:szCs w:val="22"/>
        </w:rPr>
        <w:t xml:space="preserve">Productividad: </w:t>
      </w:r>
      <w:r>
        <w:rPr>
          <w:sz w:val="22"/>
          <w:szCs w:val="22"/>
        </w:rPr>
        <w:t xml:space="preserve">asistentes que ayudan a escribir y optimizar consultas SQL o medidas DAX.</w:t>
      </w:r>
    </w:p>
    <w:p>
      <w:pPr>
        <w:spacing w:after="120" w:line="276"/>
      </w:pPr>
      <w:r>
        <w:rPr>
          <w:sz w:val="22"/>
          <w:szCs w:val="22"/>
        </w:rPr>
        <w:t xml:space="preserve">En síntesis, la IA acelera lo repetitivo y descubre patrones difíciles de ver a simple vista, pero el criterio de negocio y la validación siguen siendo del analista.</w:t>
      </w:r>
    </w:p>
    <w:p>
      <w:pPr>
        <w:pStyle w:val="Heading2"/>
        <w:spacing w:after="100" w:before="220"/>
      </w:pPr>
      <w:r>
        <w:rPr>
          <w:b/>
          <w:bCs/>
          <w:color w:val="2E74B5"/>
          <w:sz w:val="26"/>
          <w:szCs w:val="26"/>
        </w:rPr>
        <w:t xml:space="preserve">1.4 Principios de storytelling con datos</w:t>
      </w:r>
    </w:p>
    <w:p>
      <w:pPr>
        <w:pStyle w:val="ListParagraph"/>
        <w:numPr>
          <w:ilvl w:val="0"/>
          <w:numId w:val="1"/>
        </w:numPr>
        <w:spacing w:after="60" w:line="270"/>
      </w:pPr>
      <w:r>
        <w:rPr>
          <w:b/>
          <w:bCs/>
          <w:sz w:val="22"/>
          <w:szCs w:val="22"/>
        </w:rPr>
        <w:t xml:space="preserve">Audiencia y objetivo: </w:t>
      </w:r>
      <w:r>
        <w:rPr>
          <w:sz w:val="22"/>
          <w:szCs w:val="22"/>
        </w:rPr>
        <w:t xml:space="preserve">adaptar el mensaje a quién decide (marketing, dirección) y qué acción se busca.</w:t>
      </w:r>
    </w:p>
    <w:p>
      <w:pPr>
        <w:pStyle w:val="ListParagraph"/>
        <w:numPr>
          <w:ilvl w:val="0"/>
          <w:numId w:val="1"/>
        </w:numPr>
        <w:spacing w:after="60" w:line="270"/>
      </w:pPr>
      <w:r>
        <w:rPr>
          <w:b/>
          <w:bCs/>
          <w:sz w:val="22"/>
          <w:szCs w:val="22"/>
        </w:rPr>
        <w:t xml:space="preserve">Un mensaje por visual: </w:t>
      </w:r>
      <w:r>
        <w:rPr>
          <w:sz w:val="22"/>
          <w:szCs w:val="22"/>
        </w:rPr>
        <w:t xml:space="preserve">cada gráfico responde una pregunta; evitar sobrecargar el panel (máx. 5–7 visuales).</w:t>
      </w:r>
    </w:p>
    <w:p>
      <w:pPr>
        <w:pStyle w:val="ListParagraph"/>
        <w:numPr>
          <w:ilvl w:val="0"/>
          <w:numId w:val="1"/>
        </w:numPr>
        <w:spacing w:after="60" w:line="270"/>
      </w:pPr>
      <w:r>
        <w:rPr>
          <w:b/>
          <w:bCs/>
          <w:sz w:val="22"/>
          <w:szCs w:val="22"/>
        </w:rPr>
        <w:t xml:space="preserve">Gráfico adecuado al dato: </w:t>
      </w:r>
      <w:r>
        <w:rPr>
          <w:sz w:val="22"/>
          <w:szCs w:val="22"/>
        </w:rPr>
        <w:t xml:space="preserve">líneas para tendencia, barras para comparar, KPIs para monitoreo.</w:t>
      </w:r>
    </w:p>
    <w:p>
      <w:pPr>
        <w:pStyle w:val="ListParagraph"/>
        <w:numPr>
          <w:ilvl w:val="0"/>
          <w:numId w:val="1"/>
        </w:numPr>
        <w:spacing w:after="60" w:line="270"/>
      </w:pPr>
      <w:r>
        <w:rPr>
          <w:b/>
          <w:bCs/>
          <w:sz w:val="22"/>
          <w:szCs w:val="22"/>
        </w:rPr>
        <w:t xml:space="preserve">Contexto y jerarquía visual: </w:t>
      </w:r>
      <w:r>
        <w:rPr>
          <w:sz w:val="22"/>
          <w:szCs w:val="22"/>
        </w:rPr>
        <w:t xml:space="preserve">títulos narrativos que digan el hallazgo, no solo la métrica; resaltar lo importante con color.</w:t>
      </w:r>
    </w:p>
    <w:p>
      <w:pPr>
        <w:pStyle w:val="ListParagraph"/>
        <w:numPr>
          <w:ilvl w:val="0"/>
          <w:numId w:val="1"/>
        </w:numPr>
        <w:spacing w:after="60" w:line="270"/>
      </w:pPr>
      <w:r>
        <w:rPr>
          <w:b/>
          <w:bCs/>
          <w:sz w:val="22"/>
          <w:szCs w:val="22"/>
        </w:rPr>
        <w:t xml:space="preserve">Cierre accionable: </w:t>
      </w:r>
      <w:r>
        <w:rPr>
          <w:sz w:val="22"/>
          <w:szCs w:val="22"/>
        </w:rPr>
        <w:t xml:space="preserve">terminar siempre con una recomendación (“¿y ahora qué hacemos?”).</w:t>
      </w:r>
    </w:p>
    <w:p>
      <w:r>
        <w:br w:type="page"/>
      </w:r>
    </w:p>
    <w:p>
      <w:pPr>
        <w:pStyle w:val="Heading1"/>
        <w:spacing w:after="120" w:before="280"/>
      </w:pPr>
      <w:r>
        <w:rPr>
          <w:b/>
          <w:bCs/>
          <w:color w:val="1F3864"/>
          <w:sz w:val="30"/>
          <w:szCs w:val="30"/>
        </w:rPr>
        <w:t xml:space="preserve">Sección 2 — Ejercicios prácticos</w:t>
      </w:r>
    </w:p>
    <w:p>
      <w:pPr>
        <w:pStyle w:val="Heading2"/>
        <w:spacing w:after="100" w:before="220"/>
      </w:pPr>
      <w:r>
        <w:rPr>
          <w:b/>
          <w:bCs/>
          <w:color w:val="2E74B5"/>
          <w:sz w:val="26"/>
          <w:szCs w:val="26"/>
        </w:rPr>
        <w:t xml:space="preserve">Ejercicio 1 — Consulta SQL (ventas de los últimos 30 días)</w:t>
      </w:r>
    </w:p>
    <w:p>
      <w:pPr>
        <w:spacing w:after="120" w:line="276"/>
      </w:pPr>
      <w:r>
        <w:rPr>
          <w:sz w:val="22"/>
          <w:szCs w:val="22"/>
        </w:rPr>
        <w:t xml:space="preserve">Objetivo: extraer nombre del cliente, fecha de compra y total de la venta, filtrando las ventas de los últimos 30 días (contados desde la última venta del dataset: 2024-11-08) y ordenando por fecha descendente.</w:t>
      </w:r>
    </w:p>
    <w:p>
      <w:pPr>
        <w:pStyle w:val="Heading3"/>
        <w:spacing w:after="80" w:before="160"/>
      </w:pPr>
      <w:r>
        <w:rPr>
          <w:b/>
          <w:bCs/>
          <w:color w:val="1F3864"/>
          <w:sz w:val="23"/>
          <w:szCs w:val="23"/>
        </w:rPr>
        <w:t xml:space="preserve">Preparación de datos</w:t>
      </w:r>
    </w:p>
    <w:p>
      <w:pPr>
        <w:pStyle w:val="ListParagraph"/>
        <w:numPr>
          <w:ilvl w:val="0"/>
          <w:numId w:val="1"/>
        </w:numPr>
        <w:spacing w:after="60" w:line="270"/>
      </w:pPr>
      <w:r>
        <w:rPr>
          <w:sz w:val="22"/>
          <w:szCs w:val="22"/>
        </w:rPr>
        <w:t xml:space="preserve">Se conservan solo las columnas relevantes: nombre del cliente (vía JOIN con clientes), fecha_venta y total_venta.</w:t>
      </w:r>
    </w:p>
    <w:p>
      <w:pPr>
        <w:pStyle w:val="ListParagraph"/>
        <w:numPr>
          <w:ilvl w:val="0"/>
          <w:numId w:val="1"/>
        </w:numPr>
        <w:spacing w:after="60" w:line="270"/>
      </w:pPr>
      <w:r>
        <w:rPr>
          <w:sz w:val="22"/>
          <w:szCs w:val="22"/>
        </w:rPr>
        <w:t xml:space="preserve">fecha_venta ya está en tipo fecha (depurada en Power Query), lo que permite el filtro por rango de 30 días.</w:t>
      </w:r>
    </w:p>
    <w:p>
      <w:pPr>
        <w:pStyle w:val="ListParagraph"/>
        <w:numPr>
          <w:ilvl w:val="0"/>
          <w:numId w:val="1"/>
        </w:numPr>
        <w:spacing w:after="60" w:line="270"/>
      </w:pPr>
      <w:r>
        <w:rPr>
          <w:sz w:val="22"/>
          <w:szCs w:val="22"/>
        </w:rPr>
        <w:t xml:space="preserve">Se eliminaron previamente duplicados y nulos en las dimensiones durante el ETL.</w:t>
      </w:r>
    </w:p>
    <w:p>
      <w:pPr>
        <w:pStyle w:val="Heading3"/>
        <w:spacing w:after="80" w:before="160"/>
      </w:pPr>
      <w:r>
        <w:rPr>
          <w:b/>
          <w:bCs/>
          <w:color w:val="1F3864"/>
          <w:sz w:val="23"/>
          <w:szCs w:val="23"/>
        </w:rPr>
        <w:t xml:space="preserve">Consulta</w:t>
      </w:r>
    </w:p>
    <w:p>
      <w:pPr>
        <w:pBdr>
          <w:top w:val="single" w:color="D9D9D9" w:sz="2" w:space="4"/>
          <w:left w:val="single" w:color="2E74B5" w:sz="18" w:space="8"/>
        </w:pBdr>
        <w:shd w:fill="F2F4F7" w:color="auto" w:val="clear"/>
        <w:spacing w:after="0" w:before="60"/>
      </w:pPr>
      <w:r>
        <w:rPr>
          <w:rFonts w:ascii="Consolas" w:cs="Consolas" w:eastAsia="Consolas" w:hAnsi="Consolas"/>
          <w:color w:val="1A1A1A"/>
          <w:sz w:val="18"/>
          <w:szCs w:val="18"/>
        </w:rPr>
        <w:t xml:space="preserve">SELECT</w:t>
      </w:r>
    </w:p>
    <w:p>
      <w:pPr>
        <w:pBdr>
          <w:left w:val="single" w:color="2E74B5" w:sz="18" w:space="8"/>
        </w:pBdr>
        <w:shd w:fill="F2F4F7" w:color="auto" w:val="clear"/>
        <w:spacing w:after="0" w:before="0"/>
      </w:pPr>
      <w:r>
        <w:rPr>
          <w:rFonts w:ascii="Consolas" w:cs="Consolas" w:eastAsia="Consolas" w:hAnsi="Consolas"/>
          <w:color w:val="1A1A1A"/>
          <w:sz w:val="18"/>
          <w:szCs w:val="18"/>
        </w:rPr>
        <w:t xml:space="preserve">    c.nombre_cliente,</w:t>
      </w:r>
    </w:p>
    <w:p>
      <w:pPr>
        <w:pBdr>
          <w:left w:val="single" w:color="2E74B5" w:sz="18" w:space="8"/>
        </w:pBdr>
        <w:shd w:fill="F2F4F7" w:color="auto" w:val="clear"/>
        <w:spacing w:after="0" w:before="0"/>
      </w:pPr>
      <w:r>
        <w:rPr>
          <w:rFonts w:ascii="Consolas" w:cs="Consolas" w:eastAsia="Consolas" w:hAnsi="Consolas"/>
          <w:color w:val="1A1A1A"/>
          <w:sz w:val="18"/>
          <w:szCs w:val="18"/>
        </w:rPr>
        <w:t xml:space="preserve">    v.fecha_venta,</w:t>
      </w:r>
    </w:p>
    <w:p>
      <w:pPr>
        <w:pBdr>
          <w:left w:val="single" w:color="2E74B5" w:sz="18" w:space="8"/>
        </w:pBdr>
        <w:shd w:fill="F2F4F7" w:color="auto" w:val="clear"/>
        <w:spacing w:after="0" w:before="0"/>
      </w:pPr>
      <w:r>
        <w:rPr>
          <w:rFonts w:ascii="Consolas" w:cs="Consolas" w:eastAsia="Consolas" w:hAnsi="Consolas"/>
          <w:color w:val="1A1A1A"/>
          <w:sz w:val="18"/>
          <w:szCs w:val="18"/>
        </w:rPr>
        <w:t xml:space="preserve">    v.total_venta</w:t>
      </w:r>
    </w:p>
    <w:p>
      <w:pPr>
        <w:pBdr>
          <w:left w:val="single" w:color="2E74B5" w:sz="18" w:space="8"/>
        </w:pBdr>
        <w:shd w:fill="F2F4F7" w:color="auto" w:val="clear"/>
        <w:spacing w:after="0" w:before="0"/>
      </w:pPr>
      <w:r>
        <w:rPr>
          <w:rFonts w:ascii="Consolas" w:cs="Consolas" w:eastAsia="Consolas" w:hAnsi="Consolas"/>
          <w:color w:val="1A1A1A"/>
          <w:sz w:val="18"/>
          <w:szCs w:val="18"/>
        </w:rPr>
        <w:t xml:space="preserve">FROM ventas AS v</w:t>
      </w:r>
    </w:p>
    <w:p>
      <w:pPr>
        <w:pBdr>
          <w:left w:val="single" w:color="2E74B5" w:sz="18" w:space="8"/>
        </w:pBdr>
        <w:shd w:fill="F2F4F7" w:color="auto" w:val="clear"/>
        <w:spacing w:after="0" w:before="0"/>
      </w:pPr>
      <w:r>
        <w:rPr>
          <w:rFonts w:ascii="Consolas" w:cs="Consolas" w:eastAsia="Consolas" w:hAnsi="Consolas"/>
          <w:color w:val="1A1A1A"/>
          <w:sz w:val="18"/>
          <w:szCs w:val="18"/>
        </w:rPr>
        <w:t xml:space="preserve">JOIN clientes AS c  ON v.id_cliente = c.id_cliente</w:t>
      </w:r>
    </w:p>
    <w:p>
      <w:pPr>
        <w:pBdr>
          <w:left w:val="single" w:color="2E74B5" w:sz="18" w:space="8"/>
        </w:pBdr>
        <w:shd w:fill="F2F4F7" w:color="auto" w:val="clear"/>
        <w:spacing w:after="0" w:before="0"/>
      </w:pPr>
      <w:r>
        <w:rPr>
          <w:rFonts w:ascii="Consolas" w:cs="Consolas" w:eastAsia="Consolas" w:hAnsi="Consolas"/>
          <w:color w:val="1A1A1A"/>
          <w:sz w:val="18"/>
          <w:szCs w:val="18"/>
        </w:rPr>
        <w:t xml:space="preserve">WHERE v.fecha_venta &gt; (SELECT MAX(fecha_venta) FROM ventas) - INTERVAL '30 days'</w:t>
      </w:r>
    </w:p>
    <w:p>
      <w:pPr>
        <w:pBdr>
          <w:bottom w:val="single" w:color="D9D9D9" w:sz="2" w:space="4"/>
          <w:left w:val="single" w:color="2E74B5" w:sz="18" w:space="8"/>
        </w:pBdr>
        <w:shd w:fill="F2F4F7" w:color="auto" w:val="clear"/>
        <w:spacing w:after="120" w:before="0"/>
      </w:pPr>
      <w:r>
        <w:rPr>
          <w:rFonts w:ascii="Consolas" w:cs="Consolas" w:eastAsia="Consolas" w:hAnsi="Consolas"/>
          <w:color w:val="1A1A1A"/>
          <w:sz w:val="18"/>
          <w:szCs w:val="18"/>
        </w:rPr>
        <w:t xml:space="preserve">ORDER BY v.fecha_venta DESC;</w:t>
      </w:r>
    </w:p>
    <w:p>
      <w:pPr>
        <w:spacing w:after="120" w:line="276"/>
      </w:pPr>
      <w:r>
        <w:rPr>
          <w:i/>
          <w:iCs/>
          <w:sz w:val="20"/>
          <w:szCs w:val="20"/>
        </w:rPr>
        <w:t xml:space="preserve">Nota de portabilidad: en SQL Server, reemplazar el filtro por </w:t>
      </w:r>
      <w:r>
        <w:rPr>
          <w:rFonts w:ascii="Consolas" w:cs="Consolas" w:eastAsia="Consolas" w:hAnsi="Consolas"/>
          <w:sz w:val="20"/>
          <w:szCs w:val="20"/>
        </w:rPr>
        <w:t xml:space="preserve">WHERE v.fecha_venta &gt; DATEADD(day, -30, (SELECT MAX(fecha_venta) FROM ventas))</w:t>
      </w:r>
      <w:r>
        <w:rPr>
          <w:i/>
          <w:iCs/>
          <w:sz w:val="20"/>
          <w:szCs w:val="20"/>
        </w:rPr>
        <w:t xml:space="preserve">.</w:t>
      </w:r>
    </w:p>
    <w:p>
      <w:pPr>
        <w:pStyle w:val="Heading3"/>
        <w:spacing w:after="80" w:before="160"/>
      </w:pPr>
      <w:r>
        <w:rPr>
          <w:b/>
          <w:bCs/>
          <w:color w:val="1F3864"/>
          <w:sz w:val="23"/>
          <w:szCs w:val="23"/>
        </w:rPr>
        <w:t xml:space="preserve">Resultado</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3800"/>
        <w:gridCol w:w="3000"/>
        <w:gridCol w:w="2200"/>
      </w:tblGrid>
      <w:tr>
        <w:trPr>
          <w:tblHeader/>
        </w:trPr>
        <w:tc>
          <w:tcPr>
            <w:tcW w:type="dxa" w:w="3800"/>
            <w:shd w:fill="1F3864" w:color="auto" w:val="clear"/>
            <w:tcMar>
              <w:top w:type="dxa" w:w="40"/>
              <w:left w:type="dxa" w:w="90"/>
              <w:bottom w:type="dxa" w:w="40"/>
              <w:right w:type="dxa" w:w="90"/>
            </w:tcMar>
          </w:tcPr>
          <w:p>
            <w:pPr>
              <w:spacing w:after="40" w:before="40"/>
              <w:jc w:val="left"/>
            </w:pPr>
            <w:r>
              <w:rPr>
                <w:b/>
                <w:bCs/>
                <w:color w:val="FFFFFF"/>
                <w:sz w:val="19"/>
                <w:szCs w:val="19"/>
              </w:rPr>
              <w:t xml:space="preserve">nombre_cliente</w:t>
            </w:r>
          </w:p>
        </w:tc>
        <w:tc>
          <w:tcPr>
            <w:tcW w:type="dxa" w:w="30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fecha_venta</w:t>
            </w:r>
          </w:p>
        </w:tc>
        <w:tc>
          <w:tcPr>
            <w:tcW w:type="dxa" w:w="22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total_venta</w:t>
            </w:r>
          </w:p>
        </w:tc>
      </w:tr>
      <w:tr>
        <w:tc>
          <w:tcPr>
            <w:tcW w:type="dxa" w:w="3800"/>
            <w:tcMar>
              <w:top w:type="dxa" w:w="40"/>
              <w:left w:type="dxa" w:w="90"/>
              <w:bottom w:type="dxa" w:w="40"/>
              <w:right w:type="dxa" w:w="90"/>
            </w:tcMar>
          </w:tcPr>
          <w:p>
            <w:pPr>
              <w:spacing w:after="40" w:before="40"/>
              <w:jc w:val="left"/>
            </w:pPr>
            <w:r>
              <w:rPr>
                <w:b/>
                <w:bCs/>
                <w:color w:val="000000"/>
                <w:sz w:val="19"/>
                <w:szCs w:val="19"/>
              </w:rPr>
              <w:t xml:space="preserve">Carlos Rojas</w:t>
            </w:r>
          </w:p>
        </w:tc>
        <w:tc>
          <w:tcPr>
            <w:tcW w:type="dxa" w:w="3000"/>
            <w:tcMar>
              <w:top w:type="dxa" w:w="40"/>
              <w:left w:type="dxa" w:w="90"/>
              <w:bottom w:type="dxa" w:w="40"/>
              <w:right w:type="dxa" w:w="90"/>
            </w:tcMar>
          </w:tcPr>
          <w:p>
            <w:pPr>
              <w:spacing w:after="40" w:before="40"/>
              <w:jc w:val="center"/>
            </w:pPr>
            <w:r>
              <w:rPr>
                <w:b w:val="false"/>
                <w:bCs w:val="false"/>
                <w:color w:val="000000"/>
                <w:sz w:val="19"/>
                <w:szCs w:val="19"/>
              </w:rPr>
              <w:t xml:space="preserve">2024-11-08</w:t>
            </w:r>
          </w:p>
        </w:tc>
        <w:tc>
          <w:tcPr>
            <w:tcW w:type="dxa" w:w="2200"/>
            <w:tcMar>
              <w:top w:type="dxa" w:w="40"/>
              <w:left w:type="dxa" w:w="90"/>
              <w:bottom w:type="dxa" w:w="40"/>
              <w:right w:type="dxa" w:w="90"/>
            </w:tcMar>
          </w:tcPr>
          <w:p>
            <w:pPr>
              <w:spacing w:after="40" w:before="40"/>
              <w:jc w:val="center"/>
            </w:pPr>
            <w:r>
              <w:rPr>
                <w:b w:val="false"/>
                <w:bCs w:val="false"/>
                <w:color w:val="000000"/>
                <w:sz w:val="19"/>
                <w:szCs w:val="19"/>
              </w:rPr>
              <w:t xml:space="preserve">758,10</w:t>
            </w:r>
          </w:p>
        </w:tc>
      </w:tr>
      <w:tr>
        <w:tc>
          <w:tcPr>
            <w:tcW w:type="dxa" w:w="3800"/>
            <w:shd w:fill="DCE6F1" w:color="auto" w:val="clear"/>
            <w:tcMar>
              <w:top w:type="dxa" w:w="40"/>
              <w:left w:type="dxa" w:w="90"/>
              <w:bottom w:type="dxa" w:w="40"/>
              <w:right w:type="dxa" w:w="90"/>
            </w:tcMar>
          </w:tcPr>
          <w:p>
            <w:pPr>
              <w:spacing w:after="40" w:before="40"/>
              <w:jc w:val="left"/>
            </w:pPr>
            <w:r>
              <w:rPr>
                <w:b/>
                <w:bCs/>
                <w:color w:val="000000"/>
                <w:sz w:val="19"/>
                <w:szCs w:val="19"/>
              </w:rPr>
              <w:t xml:space="preserve">Ana Torres</w:t>
            </w:r>
          </w:p>
        </w:tc>
        <w:tc>
          <w:tcPr>
            <w:tcW w:type="dxa" w:w="30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2024-10-31</w:t>
            </w:r>
          </w:p>
        </w:tc>
        <w:tc>
          <w:tcPr>
            <w:tcW w:type="dxa" w:w="22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209,00</w:t>
            </w:r>
          </w:p>
        </w:tc>
      </w:tr>
      <w:tr>
        <w:tc>
          <w:tcPr>
            <w:tcW w:type="dxa" w:w="3800"/>
            <w:tcMar>
              <w:top w:type="dxa" w:w="40"/>
              <w:left w:type="dxa" w:w="90"/>
              <w:bottom w:type="dxa" w:w="40"/>
              <w:right w:type="dxa" w:w="90"/>
            </w:tcMar>
          </w:tcPr>
          <w:p>
            <w:pPr>
              <w:spacing w:after="40" w:before="40"/>
              <w:jc w:val="left"/>
            </w:pPr>
            <w:r>
              <w:rPr>
                <w:b/>
                <w:bCs/>
                <w:color w:val="000000"/>
                <w:sz w:val="19"/>
                <w:szCs w:val="19"/>
              </w:rPr>
              <w:t xml:space="preserve">Carlos Rojas</w:t>
            </w:r>
          </w:p>
        </w:tc>
        <w:tc>
          <w:tcPr>
            <w:tcW w:type="dxa" w:w="3000"/>
            <w:tcMar>
              <w:top w:type="dxa" w:w="40"/>
              <w:left w:type="dxa" w:w="90"/>
              <w:bottom w:type="dxa" w:w="40"/>
              <w:right w:type="dxa" w:w="90"/>
            </w:tcMar>
          </w:tcPr>
          <w:p>
            <w:pPr>
              <w:spacing w:after="40" w:before="40"/>
              <w:jc w:val="center"/>
            </w:pPr>
            <w:r>
              <w:rPr>
                <w:b w:val="false"/>
                <w:bCs w:val="false"/>
                <w:color w:val="000000"/>
                <w:sz w:val="19"/>
                <w:szCs w:val="19"/>
              </w:rPr>
              <w:t xml:space="preserve">2024-10-22</w:t>
            </w:r>
          </w:p>
        </w:tc>
        <w:tc>
          <w:tcPr>
            <w:tcW w:type="dxa" w:w="2200"/>
            <w:tcMar>
              <w:top w:type="dxa" w:w="40"/>
              <w:left w:type="dxa" w:w="90"/>
              <w:bottom w:type="dxa" w:w="40"/>
              <w:right w:type="dxa" w:w="90"/>
            </w:tcMar>
          </w:tcPr>
          <w:p>
            <w:pPr>
              <w:spacing w:after="40" w:before="40"/>
              <w:jc w:val="center"/>
            </w:pPr>
            <w:r>
              <w:rPr>
                <w:b w:val="false"/>
                <w:bCs w:val="false"/>
                <w:color w:val="000000"/>
                <w:sz w:val="19"/>
                <w:szCs w:val="19"/>
              </w:rPr>
              <w:t xml:space="preserve">399,00</w:t>
            </w:r>
          </w:p>
        </w:tc>
      </w:tr>
    </w:tbl>
    <w:p>
      <w:pPr>
        <w:spacing w:after="160" w:before="40"/>
        <w:jc w:val="center"/>
      </w:pPr>
      <w:r>
        <w:rPr>
          <w:i/>
          <w:iCs/>
          <w:color w:val="595959"/>
          <w:sz w:val="17"/>
          <w:szCs w:val="17"/>
        </w:rPr>
        <w:t xml:space="preserve">Tabla 4. Salida de la consulta: 3 ventas en la ventana de 30 días desde la última venta.</w:t>
      </w:r>
    </w:p>
    <w:p>
      <w:pPr>
        <w:pStyle w:val="Heading3"/>
        <w:spacing w:after="80" w:before="160"/>
      </w:pPr>
      <w:r>
        <w:rPr>
          <w:b/>
          <w:bCs/>
          <w:color w:val="1F3864"/>
          <w:sz w:val="23"/>
          <w:szCs w:val="23"/>
        </w:rPr>
        <w:t xml:space="preserve">Captura de la ejecución</w:t>
      </w:r>
    </w:p>
    <w:p>
      <w:pPr>
        <w:spacing w:after="40" w:before="80"/>
        <w:jc w:val="center"/>
      </w:pPr>
      <w:r>
        <w:drawing>
          <wp:inline distT="0" distB="0" distL="0" distR="0">
            <wp:extent cx="6096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771775"/>
                    </a:xfrm>
                    <a:prstGeom prst="rect">
                      <a:avLst/>
                    </a:prstGeom>
                  </pic:spPr>
                </pic:pic>
              </a:graphicData>
            </a:graphic>
          </wp:inline>
        </w:drawing>
      </w:r>
    </w:p>
    <w:p>
      <w:pPr>
        <w:spacing w:after="160" w:before="40"/>
        <w:jc w:val="center"/>
      </w:pPr>
      <w:r>
        <w:rPr>
          <w:i/>
          <w:iCs/>
          <w:color w:val="595959"/>
          <w:sz w:val="17"/>
          <w:szCs w:val="17"/>
        </w:rPr>
        <w:t xml:space="preserve">Figura 2. Consulta ejecutada en el editor SQL (PostgreSQL): 3 filas recuperadas, ordenadas por fecha descendente.</w:t>
      </w:r>
    </w:p>
    <w:p>
      <w:pPr>
        <w:pStyle w:val="Heading3"/>
        <w:spacing w:after="80" w:before="160"/>
      </w:pPr>
      <w:r>
        <w:rPr>
          <w:b/>
          <w:bCs/>
          <w:color w:val="1F3864"/>
          <w:sz w:val="23"/>
          <w:szCs w:val="23"/>
        </w:rPr>
        <w:t xml:space="preserve">Explicación</w:t>
      </w:r>
    </w:p>
    <w:p>
      <w:pPr>
        <w:spacing w:after="120" w:line="276"/>
      </w:pPr>
      <w:r>
        <w:rPr>
          <w:sz w:val="22"/>
          <w:szCs w:val="22"/>
        </w:rPr>
        <w:t xml:space="preserve">Se usan dos tablas: </w:t>
      </w:r>
      <w:r>
        <w:rPr>
          <w:rFonts w:ascii="Consolas" w:cs="Consolas" w:eastAsia="Consolas" w:hAnsi="Consolas"/>
          <w:sz w:val="22"/>
          <w:szCs w:val="22"/>
        </w:rPr>
        <w:t xml:space="preserve">ventas</w:t>
      </w:r>
      <w:r>
        <w:rPr>
          <w:sz w:val="22"/>
          <w:szCs w:val="22"/>
        </w:rPr>
        <w:t xml:space="preserve"> (tabla de hechos, aporta fecha y monto) y </w:t>
      </w:r>
      <w:r>
        <w:rPr>
          <w:rFonts w:ascii="Consolas" w:cs="Consolas" w:eastAsia="Consolas" w:hAnsi="Consolas"/>
          <w:sz w:val="22"/>
          <w:szCs w:val="22"/>
        </w:rPr>
        <w:t xml:space="preserve">clientes</w:t>
      </w:r>
      <w:r>
        <w:rPr>
          <w:sz w:val="22"/>
          <w:szCs w:val="22"/>
        </w:rPr>
        <w:t xml:space="preserve"> (dimensión, aporta el nombre legible). El JOIN por id_cliente es adecuado porque es la clave que relaciona ambas entidades (1:N). La subconsulta con MAX(fecha_venta) hace el filtro robusto: siempre toma los últimos 30 días respecto de la venta más reciente del dataset, sin depender de la fecha actual del sistema. El ORDER BY DESC deja arriba la venta más nueva.</w:t>
      </w:r>
    </w:p>
    <w:p>
      <w:pPr>
        <w:pStyle w:val="Heading2"/>
        <w:spacing w:after="100" w:before="220"/>
      </w:pPr>
      <w:r>
        <w:rPr>
          <w:b/>
          <w:bCs/>
          <w:color w:val="2E74B5"/>
          <w:sz w:val="26"/>
          <w:szCs w:val="26"/>
        </w:rPr>
        <w:t xml:space="preserve">Ejercicio 2 — Modelado de datos (diagrama ER)</w:t>
      </w:r>
    </w:p>
    <w:p>
      <w:pPr>
        <w:spacing w:after="120" w:line="276"/>
      </w:pPr>
      <w:r>
        <w:rPr>
          <w:sz w:val="22"/>
          <w:szCs w:val="22"/>
        </w:rPr>
        <w:t xml:space="preserve">Se modela un esquema en estrella con la tabla de hechos </w:t>
      </w:r>
      <w:r>
        <w:rPr>
          <w:rFonts w:ascii="Consolas" w:cs="Consolas" w:eastAsia="Consolas" w:hAnsi="Consolas"/>
          <w:sz w:val="22"/>
          <w:szCs w:val="22"/>
        </w:rPr>
        <w:t xml:space="preserve">Fact_Ventas</w:t>
      </w:r>
      <w:r>
        <w:rPr>
          <w:sz w:val="22"/>
          <w:szCs w:val="22"/>
        </w:rPr>
        <w:t xml:space="preserve"> en el centro y las dimensiones </w:t>
      </w:r>
      <w:r>
        <w:rPr>
          <w:rFonts w:ascii="Consolas" w:cs="Consolas" w:eastAsia="Consolas" w:hAnsi="Consolas"/>
          <w:sz w:val="22"/>
          <w:szCs w:val="22"/>
        </w:rPr>
        <w:t xml:space="preserve">Dim_Clientes</w:t>
      </w:r>
      <w:r>
        <w:rPr>
          <w:sz w:val="22"/>
          <w:szCs w:val="22"/>
        </w:rPr>
        <w:t xml:space="preserve"> y </w:t>
      </w:r>
      <w:r>
        <w:rPr>
          <w:rFonts w:ascii="Consolas" w:cs="Consolas" w:eastAsia="Consolas" w:hAnsi="Consolas"/>
          <w:sz w:val="22"/>
          <w:szCs w:val="22"/>
        </w:rPr>
        <w:t xml:space="preserve">Dim_Productos</w:t>
      </w:r>
      <w:r>
        <w:rPr>
          <w:sz w:val="22"/>
          <w:szCs w:val="22"/>
        </w:rPr>
        <w:t xml:space="preserve"> alrededor.</w:t>
      </w:r>
    </w:p>
    <w:p>
      <w:pPr>
        <w:spacing w:after="40" w:before="8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48025"/>
                    </a:xfrm>
                    <a:prstGeom prst="rect">
                      <a:avLst/>
                    </a:prstGeom>
                  </pic:spPr>
                </pic:pic>
              </a:graphicData>
            </a:graphic>
          </wp:inline>
        </w:drawing>
      </w:r>
    </w:p>
    <w:p>
      <w:pPr>
        <w:spacing w:after="160" w:before="40"/>
        <w:jc w:val="center"/>
      </w:pPr>
      <w:r>
        <w:rPr>
          <w:i/>
          <w:iCs/>
          <w:color w:val="595959"/>
          <w:sz w:val="17"/>
          <w:szCs w:val="17"/>
        </w:rPr>
        <w:t xml:space="preserve">Figura 1. Diagrama entidad-relación (esquema en estrella).</w:t>
      </w:r>
    </w:p>
    <w:p>
      <w:pPr>
        <w:pStyle w:val="Heading3"/>
        <w:spacing w:after="80" w:before="160"/>
      </w:pPr>
      <w:r>
        <w:rPr>
          <w:b/>
          <w:bCs/>
          <w:color w:val="1F3864"/>
          <w:sz w:val="23"/>
          <w:szCs w:val="23"/>
        </w:rPr>
        <w:t xml:space="preserve">Entidades y relaciones</w:t>
      </w:r>
    </w:p>
    <w:p>
      <w:pPr>
        <w:pStyle w:val="ListParagraph"/>
        <w:numPr>
          <w:ilvl w:val="0"/>
          <w:numId w:val="1"/>
        </w:numPr>
        <w:spacing w:after="60" w:line="270"/>
      </w:pPr>
      <w:r>
        <w:rPr>
          <w:b/>
          <w:bCs/>
          <w:sz w:val="22"/>
          <w:szCs w:val="22"/>
        </w:rPr>
        <w:t xml:space="preserve">Cliente </w:t>
      </w:r>
      <w:r>
        <w:rPr>
          <w:sz w:val="22"/>
          <w:szCs w:val="22"/>
        </w:rPr>
        <w:t xml:space="preserve">(id_cliente PK): quién compra. </w:t>
      </w:r>
    </w:p>
    <w:p>
      <w:pPr>
        <w:pStyle w:val="ListParagraph"/>
        <w:numPr>
          <w:ilvl w:val="0"/>
          <w:numId w:val="1"/>
        </w:numPr>
        <w:spacing w:after="60" w:line="270"/>
      </w:pPr>
      <w:r>
        <w:rPr>
          <w:b/>
          <w:bCs/>
          <w:sz w:val="22"/>
          <w:szCs w:val="22"/>
        </w:rPr>
        <w:t xml:space="preserve">Producto </w:t>
      </w:r>
      <w:r>
        <w:rPr>
          <w:sz w:val="22"/>
          <w:szCs w:val="22"/>
        </w:rPr>
        <w:t xml:space="preserve">(id_producto PK): qué se vende. </w:t>
      </w:r>
    </w:p>
    <w:p>
      <w:pPr>
        <w:pStyle w:val="ListParagraph"/>
        <w:numPr>
          <w:ilvl w:val="0"/>
          <w:numId w:val="1"/>
        </w:numPr>
        <w:spacing w:after="60" w:line="270"/>
      </w:pPr>
      <w:r>
        <w:rPr>
          <w:b/>
          <w:bCs/>
          <w:sz w:val="22"/>
          <w:szCs w:val="22"/>
        </w:rPr>
        <w:t xml:space="preserve">Venta </w:t>
      </w:r>
      <w:r>
        <w:rPr>
          <w:sz w:val="22"/>
          <w:szCs w:val="22"/>
        </w:rPr>
        <w:t xml:space="preserve">(id_venta PK; id_cliente e id_producto como FK): el hecho, con fecha, cantidad y total. </w:t>
      </w:r>
    </w:p>
    <w:p>
      <w:pPr>
        <w:spacing w:after="120" w:line="276"/>
      </w:pPr>
      <w:r>
        <w:rPr>
          <w:b/>
          <w:bCs/>
          <w:sz w:val="22"/>
          <w:szCs w:val="22"/>
        </w:rPr>
        <w:t xml:space="preserve">Relaciones: </w:t>
      </w:r>
      <w:r>
        <w:rPr>
          <w:sz w:val="22"/>
          <w:szCs w:val="22"/>
        </w:rPr>
        <w:t xml:space="preserve">un cliente realiza muchas ventas (1:N) y un producto aparece en muchas ventas (1:N). La tabla Venta resuelve la relación N:M entre clientes y productos, y cada fila registra una transacción con su total_venta.</w:t>
      </w:r>
    </w:p>
    <w:p>
      <w:pPr>
        <w:pStyle w:val="Heading2"/>
        <w:spacing w:after="100" w:before="220"/>
      </w:pPr>
      <w:r>
        <w:rPr>
          <w:b/>
          <w:bCs/>
          <w:color w:val="2E74B5"/>
          <w:sz w:val="26"/>
          <w:szCs w:val="26"/>
        </w:rPr>
        <w:t xml:space="preserve">Ejercicio 3 — Visualización y storytelling</w:t>
      </w:r>
    </w:p>
    <w:p>
      <w:pPr>
        <w:spacing w:after="120" w:line="276"/>
      </w:pPr>
      <w:r>
        <w:rPr>
          <w:sz w:val="22"/>
          <w:szCs w:val="22"/>
        </w:rPr>
        <w:t xml:space="preserve">Escenario: presentar el informe de ventas mensual al equipo de marketing. La narrativa sigue una estructura de tres actos: contexto → hallazgo → acción.</w:t>
      </w:r>
    </w:p>
    <w:p>
      <w:pPr>
        <w:pStyle w:val="Heading3"/>
        <w:spacing w:after="80" w:before="160"/>
      </w:pPr>
      <w:r>
        <w:rPr>
          <w:b/>
          <w:bCs/>
          <w:color w:val="1F3864"/>
          <w:sz w:val="23"/>
          <w:szCs w:val="23"/>
        </w:rPr>
        <w:t xml:space="preserve">Gráficos elegidos y por qué</w:t>
      </w:r>
    </w:p>
    <w:tbl>
      <w:tblPr>
        <w:tblW w:type="dxa" w:w="8800"/>
        <w:tblBorders>
          <w:top w:val="single" w:color="BFBFBF" w:sz="2"/>
          <w:left w:val="single" w:color="BFBFBF" w:sz="2"/>
          <w:bottom w:val="single" w:color="BFBFBF" w:sz="2"/>
          <w:right w:val="single" w:color="BFBFBF" w:sz="2"/>
          <w:insideH w:val="single" w:color="D9D9D9" w:sz="2"/>
          <w:insideV w:val="single" w:color="D9D9D9" w:sz="2"/>
        </w:tblBorders>
      </w:tblPr>
      <w:tblGrid>
        <w:gridCol w:w="2900"/>
        <w:gridCol w:w="2400"/>
        <w:gridCol w:w="3500"/>
      </w:tblGrid>
      <w:tr>
        <w:trPr>
          <w:tblHeader/>
        </w:trPr>
        <w:tc>
          <w:tcPr>
            <w:tcW w:type="dxa" w:w="2900"/>
            <w:shd w:fill="1F3864" w:color="auto" w:val="clear"/>
            <w:tcMar>
              <w:top w:type="dxa" w:w="40"/>
              <w:left w:type="dxa" w:w="90"/>
              <w:bottom w:type="dxa" w:w="40"/>
              <w:right w:type="dxa" w:w="90"/>
            </w:tcMar>
          </w:tcPr>
          <w:p>
            <w:pPr>
              <w:spacing w:after="40" w:before="40"/>
              <w:jc w:val="left"/>
            </w:pPr>
            <w:r>
              <w:rPr>
                <w:b/>
                <w:bCs/>
                <w:color w:val="FFFFFF"/>
                <w:sz w:val="19"/>
                <w:szCs w:val="19"/>
              </w:rPr>
              <w:t xml:space="preserve">Visual</w:t>
            </w:r>
          </w:p>
        </w:tc>
        <w:tc>
          <w:tcPr>
            <w:tcW w:type="dxa" w:w="24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Tipo de gráfico</w:t>
            </w:r>
          </w:p>
        </w:tc>
        <w:tc>
          <w:tcPr>
            <w:tcW w:type="dxa" w:w="3500"/>
            <w:shd w:fill="1F3864" w:color="auto" w:val="clear"/>
            <w:tcMar>
              <w:top w:type="dxa" w:w="40"/>
              <w:left w:type="dxa" w:w="90"/>
              <w:bottom w:type="dxa" w:w="40"/>
              <w:right w:type="dxa" w:w="90"/>
            </w:tcMar>
          </w:tcPr>
          <w:p>
            <w:pPr>
              <w:spacing w:after="40" w:before="40"/>
              <w:jc w:val="center"/>
            </w:pPr>
            <w:r>
              <w:rPr>
                <w:b/>
                <w:bCs/>
                <w:color w:val="FFFFFF"/>
                <w:sz w:val="19"/>
                <w:szCs w:val="19"/>
              </w:rPr>
              <w:t xml:space="preserve">Por qué</w:t>
            </w:r>
          </w:p>
        </w:tc>
      </w:tr>
      <w:tr>
        <w:tc>
          <w:tcPr>
            <w:tcW w:type="dxa" w:w="2900"/>
            <w:tcMar>
              <w:top w:type="dxa" w:w="40"/>
              <w:left w:type="dxa" w:w="90"/>
              <w:bottom w:type="dxa" w:w="40"/>
              <w:right w:type="dxa" w:w="90"/>
            </w:tcMar>
          </w:tcPr>
          <w:p>
            <w:pPr>
              <w:spacing w:after="40" w:before="40"/>
              <w:jc w:val="left"/>
            </w:pPr>
            <w:r>
              <w:rPr>
                <w:b/>
                <w:bCs/>
                <w:color w:val="000000"/>
                <w:sz w:val="19"/>
                <w:szCs w:val="19"/>
              </w:rPr>
              <w:t xml:space="preserve">Total, ticket y n.º ventas</w:t>
            </w:r>
          </w:p>
        </w:tc>
        <w:tc>
          <w:tcPr>
            <w:tcW w:type="dxa" w:w="2400"/>
            <w:tcMar>
              <w:top w:type="dxa" w:w="40"/>
              <w:left w:type="dxa" w:w="90"/>
              <w:bottom w:type="dxa" w:w="40"/>
              <w:right w:type="dxa" w:w="90"/>
            </w:tcMar>
          </w:tcPr>
          <w:p>
            <w:pPr>
              <w:spacing w:after="40" w:before="40"/>
              <w:jc w:val="center"/>
            </w:pPr>
            <w:r>
              <w:rPr>
                <w:b w:val="false"/>
                <w:bCs w:val="false"/>
                <w:color w:val="000000"/>
                <w:sz w:val="19"/>
                <w:szCs w:val="19"/>
              </w:rPr>
              <w:t xml:space="preserve">Tarjetas KPI</w:t>
            </w:r>
          </w:p>
        </w:tc>
        <w:tc>
          <w:tcPr>
            <w:tcW w:type="dxa" w:w="3500"/>
            <w:tcMar>
              <w:top w:type="dxa" w:w="40"/>
              <w:left w:type="dxa" w:w="90"/>
              <w:bottom w:type="dxa" w:w="40"/>
              <w:right w:type="dxa" w:w="90"/>
            </w:tcMar>
          </w:tcPr>
          <w:p>
            <w:pPr>
              <w:spacing w:after="40" w:before="40"/>
              <w:jc w:val="center"/>
            </w:pPr>
            <w:r>
              <w:rPr>
                <w:b w:val="false"/>
                <w:bCs w:val="false"/>
                <w:color w:val="000000"/>
                <w:sz w:val="19"/>
                <w:szCs w:val="19"/>
              </w:rPr>
              <w:t xml:space="preserve">Monitoreo de un vistazo.</w:t>
            </w:r>
          </w:p>
        </w:tc>
      </w:tr>
      <w:tr>
        <w:tc>
          <w:tcPr>
            <w:tcW w:type="dxa" w:w="2900"/>
            <w:shd w:fill="DCE6F1" w:color="auto" w:val="clear"/>
            <w:tcMar>
              <w:top w:type="dxa" w:w="40"/>
              <w:left w:type="dxa" w:w="90"/>
              <w:bottom w:type="dxa" w:w="40"/>
              <w:right w:type="dxa" w:w="90"/>
            </w:tcMar>
          </w:tcPr>
          <w:p>
            <w:pPr>
              <w:spacing w:after="40" w:before="40"/>
              <w:jc w:val="left"/>
            </w:pPr>
            <w:r>
              <w:rPr>
                <w:b/>
                <w:bCs/>
                <w:color w:val="000000"/>
                <w:sz w:val="19"/>
                <w:szCs w:val="19"/>
              </w:rPr>
              <w:t xml:space="preserve">Tendencia mensual</w:t>
            </w:r>
          </w:p>
        </w:tc>
        <w:tc>
          <w:tcPr>
            <w:tcW w:type="dxa" w:w="24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Gráfico de líneas</w:t>
            </w:r>
          </w:p>
        </w:tc>
        <w:tc>
          <w:tcPr>
            <w:tcW w:type="dxa" w:w="35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Muestra evolución/estacionalidad en el tiempo.</w:t>
            </w:r>
          </w:p>
        </w:tc>
      </w:tr>
      <w:tr>
        <w:tc>
          <w:tcPr>
            <w:tcW w:type="dxa" w:w="2900"/>
            <w:tcMar>
              <w:top w:type="dxa" w:w="40"/>
              <w:left w:type="dxa" w:w="90"/>
              <w:bottom w:type="dxa" w:w="40"/>
              <w:right w:type="dxa" w:w="90"/>
            </w:tcMar>
          </w:tcPr>
          <w:p>
            <w:pPr>
              <w:spacing w:after="40" w:before="40"/>
              <w:jc w:val="left"/>
            </w:pPr>
            <w:r>
              <w:rPr>
                <w:b/>
                <w:bCs/>
                <w:color w:val="000000"/>
                <w:sz w:val="19"/>
                <w:szCs w:val="19"/>
              </w:rPr>
              <w:t xml:space="preserve">Ventas por categoría</w:t>
            </w:r>
          </w:p>
        </w:tc>
        <w:tc>
          <w:tcPr>
            <w:tcW w:type="dxa" w:w="2400"/>
            <w:tcMar>
              <w:top w:type="dxa" w:w="40"/>
              <w:left w:type="dxa" w:w="90"/>
              <w:bottom w:type="dxa" w:w="40"/>
              <w:right w:type="dxa" w:w="90"/>
            </w:tcMar>
          </w:tcPr>
          <w:p>
            <w:pPr>
              <w:spacing w:after="40" w:before="40"/>
              <w:jc w:val="center"/>
            </w:pPr>
            <w:r>
              <w:rPr>
                <w:b w:val="false"/>
                <w:bCs w:val="false"/>
                <w:color w:val="000000"/>
                <w:sz w:val="19"/>
                <w:szCs w:val="19"/>
              </w:rPr>
              <w:t xml:space="preserve">Barras horizontales</w:t>
            </w:r>
          </w:p>
        </w:tc>
        <w:tc>
          <w:tcPr>
            <w:tcW w:type="dxa" w:w="3500"/>
            <w:tcMar>
              <w:top w:type="dxa" w:w="40"/>
              <w:left w:type="dxa" w:w="90"/>
              <w:bottom w:type="dxa" w:w="40"/>
              <w:right w:type="dxa" w:w="90"/>
            </w:tcMar>
          </w:tcPr>
          <w:p>
            <w:pPr>
              <w:spacing w:after="40" w:before="40"/>
              <w:jc w:val="center"/>
            </w:pPr>
            <w:r>
              <w:rPr>
                <w:b w:val="false"/>
                <w:bCs w:val="false"/>
                <w:color w:val="000000"/>
                <w:sz w:val="19"/>
                <w:szCs w:val="19"/>
              </w:rPr>
              <w:t xml:space="preserve">Compara categorías y ordena de mayor a menor.</w:t>
            </w:r>
          </w:p>
        </w:tc>
      </w:tr>
      <w:tr>
        <w:tc>
          <w:tcPr>
            <w:tcW w:type="dxa" w:w="2900"/>
            <w:shd w:fill="DCE6F1" w:color="auto" w:val="clear"/>
            <w:tcMar>
              <w:top w:type="dxa" w:w="40"/>
              <w:left w:type="dxa" w:w="90"/>
              <w:bottom w:type="dxa" w:w="40"/>
              <w:right w:type="dxa" w:w="90"/>
            </w:tcMar>
          </w:tcPr>
          <w:p>
            <w:pPr>
              <w:spacing w:after="40" w:before="40"/>
              <w:jc w:val="left"/>
            </w:pPr>
            <w:r>
              <w:rPr>
                <w:b/>
                <w:bCs/>
                <w:color w:val="000000"/>
                <w:sz w:val="19"/>
                <w:szCs w:val="19"/>
              </w:rPr>
              <w:t xml:space="preserve">Ventas por canal</w:t>
            </w:r>
          </w:p>
        </w:tc>
        <w:tc>
          <w:tcPr>
            <w:tcW w:type="dxa" w:w="24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Dona (donut)</w:t>
            </w:r>
          </w:p>
        </w:tc>
        <w:tc>
          <w:tcPr>
            <w:tcW w:type="dxa" w:w="3500"/>
            <w:shd w:fill="DCE6F1" w:color="auto" w:val="clear"/>
            <w:tcMar>
              <w:top w:type="dxa" w:w="40"/>
              <w:left w:type="dxa" w:w="90"/>
              <w:bottom w:type="dxa" w:w="40"/>
              <w:right w:type="dxa" w:w="90"/>
            </w:tcMar>
          </w:tcPr>
          <w:p>
            <w:pPr>
              <w:spacing w:after="40" w:before="40"/>
              <w:jc w:val="center"/>
            </w:pPr>
            <w:r>
              <w:rPr>
                <w:b w:val="false"/>
                <w:bCs w:val="false"/>
                <w:color w:val="000000"/>
                <w:sz w:val="19"/>
                <w:szCs w:val="19"/>
              </w:rPr>
              <w:t xml:space="preserve">Muestra participación Online vs. Tienda.</w:t>
            </w:r>
          </w:p>
        </w:tc>
      </w:tr>
      <w:tr>
        <w:tc>
          <w:tcPr>
            <w:tcW w:type="dxa" w:w="2900"/>
            <w:tcMar>
              <w:top w:type="dxa" w:w="40"/>
              <w:left w:type="dxa" w:w="90"/>
              <w:bottom w:type="dxa" w:w="40"/>
              <w:right w:type="dxa" w:w="90"/>
            </w:tcMar>
          </w:tcPr>
          <w:p>
            <w:pPr>
              <w:spacing w:after="40" w:before="40"/>
              <w:jc w:val="left"/>
            </w:pPr>
            <w:r>
              <w:rPr>
                <w:b/>
                <w:bCs/>
                <w:color w:val="000000"/>
                <w:sz w:val="19"/>
                <w:szCs w:val="19"/>
              </w:rPr>
              <w:t xml:space="preserve">Distribución del ticket</w:t>
            </w:r>
          </w:p>
        </w:tc>
        <w:tc>
          <w:tcPr>
            <w:tcW w:type="dxa" w:w="2400"/>
            <w:tcMar>
              <w:top w:type="dxa" w:w="40"/>
              <w:left w:type="dxa" w:w="90"/>
              <w:bottom w:type="dxa" w:w="40"/>
              <w:right w:type="dxa" w:w="90"/>
            </w:tcMar>
          </w:tcPr>
          <w:p>
            <w:pPr>
              <w:spacing w:after="40" w:before="40"/>
              <w:jc w:val="center"/>
            </w:pPr>
            <w:r>
              <w:rPr>
                <w:b w:val="false"/>
                <w:bCs w:val="false"/>
                <w:color w:val="000000"/>
                <w:sz w:val="19"/>
                <w:szCs w:val="19"/>
              </w:rPr>
              <w:t xml:space="preserve">Histograma</w:t>
            </w:r>
          </w:p>
        </w:tc>
        <w:tc>
          <w:tcPr>
            <w:tcW w:type="dxa" w:w="3500"/>
            <w:tcMar>
              <w:top w:type="dxa" w:w="40"/>
              <w:left w:type="dxa" w:w="90"/>
              <w:bottom w:type="dxa" w:w="40"/>
              <w:right w:type="dxa" w:w="90"/>
            </w:tcMar>
          </w:tcPr>
          <w:p>
            <w:pPr>
              <w:spacing w:after="40" w:before="40"/>
              <w:jc w:val="center"/>
            </w:pPr>
            <w:r>
              <w:rPr>
                <w:b w:val="false"/>
                <w:bCs w:val="false"/>
                <w:color w:val="000000"/>
                <w:sz w:val="19"/>
                <w:szCs w:val="19"/>
              </w:rPr>
              <w:t xml:space="preserve">Evidencia el sesgo: media vs. mediana.</w:t>
            </w:r>
          </w:p>
        </w:tc>
      </w:tr>
    </w:tbl>
    <w:p>
      <w:pPr>
        <w:spacing w:after="160" w:before="40"/>
        <w:jc w:val="center"/>
      </w:pPr>
      <w:r>
        <w:rPr>
          <w:i/>
          <w:iCs/>
          <w:color w:val="595959"/>
          <w:sz w:val="17"/>
          <w:szCs w:val="17"/>
        </w:rPr>
        <w:t xml:space="preserve">Tabla 5. Selección de visuales para el informe.</w:t>
      </w:r>
    </w:p>
    <w:p>
      <w:pPr>
        <w:spacing w:after="40" w:before="80"/>
        <w:jc w:val="center"/>
      </w:pPr>
      <w:r>
        <w:drawing>
          <wp:inline distT="0" distB="0" distL="0" distR="0">
            <wp:extent cx="61912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048125"/>
                    </a:xfrm>
                    <a:prstGeom prst="rect">
                      <a:avLst/>
                    </a:prstGeom>
                  </pic:spPr>
                </pic:pic>
              </a:graphicData>
            </a:graphic>
          </wp:inline>
        </w:drawing>
      </w:r>
    </w:p>
    <w:p>
      <w:pPr>
        <w:spacing w:after="160" w:before="40"/>
        <w:jc w:val="center"/>
      </w:pPr>
      <w:r>
        <w:rPr>
          <w:i/>
          <w:iCs/>
          <w:color w:val="595959"/>
          <w:sz w:val="17"/>
          <w:szCs w:val="17"/>
        </w:rPr>
        <w:t xml:space="preserve">Figura 3. Dashboard de ventas RetailPro en Power BI Desktop (datos reales del proyecto).</w:t>
      </w:r>
    </w:p>
    <w:p>
      <w:pPr>
        <w:pStyle w:val="Heading3"/>
        <w:spacing w:after="80" w:before="160"/>
      </w:pPr>
      <w:r>
        <w:rPr>
          <w:b/>
          <w:bCs/>
          <w:color w:val="1F3864"/>
          <w:sz w:val="23"/>
          <w:szCs w:val="23"/>
        </w:rPr>
        <w:t xml:space="preserve">Narrativa (storytelling)</w:t>
      </w:r>
    </w:p>
    <w:p>
      <w:pPr>
        <w:spacing w:after="120" w:line="276"/>
      </w:pPr>
      <w:r>
        <w:rPr>
          <w:b/>
          <w:bCs/>
          <w:sz w:val="22"/>
          <w:szCs w:val="22"/>
        </w:rPr>
        <w:t xml:space="preserve">1) Contexto: </w:t>
      </w:r>
      <w:r>
        <w:rPr>
          <w:sz w:val="22"/>
          <w:szCs w:val="22"/>
        </w:rPr>
        <w:t xml:space="preserve">“En 2023–2024 facturamos $26.423 en 50 operaciones; el 56 % vino de canal Online.” </w:t>
      </w:r>
    </w:p>
    <w:p>
      <w:pPr>
        <w:spacing w:after="120" w:line="276"/>
      </w:pPr>
      <w:r>
        <w:rPr>
          <w:b/>
          <w:bCs/>
          <w:sz w:val="22"/>
          <w:szCs w:val="22"/>
        </w:rPr>
        <w:t xml:space="preserve">2) Hallazgo: </w:t>
      </w:r>
      <w:r>
        <w:rPr>
          <w:sz w:val="22"/>
          <w:szCs w:val="22"/>
        </w:rPr>
        <w:t xml:space="preserve">“Notebooks y Smartphones concentran el 73 % de la facturación. Y ojo con el ticket: el promedio ($528) engaña, porque 4 ventas de alto valor lo inflan; el cliente típico gasta $370 (mediana).” </w:t>
      </w:r>
    </w:p>
    <w:p>
      <w:pPr>
        <w:spacing w:after="120" w:line="276"/>
      </w:pPr>
      <w:r>
        <w:rPr>
          <w:b/>
          <w:bCs/>
          <w:sz w:val="22"/>
          <w:szCs w:val="22"/>
        </w:rPr>
        <w:t xml:space="preserve">3) Acción (recomendación): </w:t>
      </w:r>
      <w:r>
        <w:rPr>
          <w:sz w:val="22"/>
          <w:szCs w:val="22"/>
        </w:rPr>
        <w:t xml:space="preserve">“Invertir el presupuesto de marketing en Notebooks/Smartphones y en el canal Online, que es donde está la facturación; y comunicar los objetivos de venta usando la mediana como ticket de referencia, no el promedio.” </w:t>
      </w:r>
    </w:p>
    <w:p>
      <w:r>
        <w:br w:type="page"/>
      </w:r>
    </w:p>
    <w:p>
      <w:pPr>
        <w:pStyle w:val="Heading1"/>
        <w:spacing w:after="120" w:before="280"/>
      </w:pPr>
      <w:r>
        <w:rPr>
          <w:b/>
          <w:bCs/>
          <w:color w:val="1F3864"/>
          <w:sz w:val="30"/>
          <w:szCs w:val="30"/>
        </w:rPr>
        <w:t xml:space="preserve">Conclusiones e insights</w:t>
      </w:r>
    </w:p>
    <w:p>
      <w:pPr>
        <w:pStyle w:val="ListParagraph"/>
        <w:numPr>
          <w:ilvl w:val="0"/>
          <w:numId w:val="2"/>
        </w:numPr>
        <w:spacing w:after="60" w:line="270"/>
      </w:pPr>
      <w:r>
        <w:rPr>
          <w:b/>
          <w:bCs/>
          <w:sz w:val="22"/>
          <w:szCs w:val="22"/>
        </w:rPr>
        <w:t xml:space="preserve">Hilo conductor cumplido: </w:t>
      </w:r>
      <w:r>
        <w:rPr>
          <w:sz w:val="22"/>
          <w:szCs w:val="22"/>
        </w:rPr>
        <w:t xml:space="preserve">los mismos datos depurados en SQL sostienen el análisis estadístico y el dashboard.</w:t>
      </w:r>
    </w:p>
    <w:p>
      <w:pPr>
        <w:pStyle w:val="ListParagraph"/>
        <w:numPr>
          <w:ilvl w:val="0"/>
          <w:numId w:val="2"/>
        </w:numPr>
        <w:spacing w:after="60" w:line="270"/>
      </w:pPr>
      <w:r>
        <w:rPr>
          <w:b/>
          <w:bCs/>
          <w:sz w:val="22"/>
          <w:szCs w:val="22"/>
        </w:rPr>
        <w:t xml:space="preserve">El promedio engaña: </w:t>
      </w:r>
      <w:r>
        <w:rPr>
          <w:sz w:val="22"/>
          <w:szCs w:val="22"/>
        </w:rPr>
        <w:t xml:space="preserve">media $528 vs. mediana $370 (43 % de diferencia). Se comunica la mediana como ticket de referencia.</w:t>
      </w:r>
    </w:p>
    <w:p>
      <w:pPr>
        <w:pStyle w:val="ListParagraph"/>
        <w:numPr>
          <w:ilvl w:val="0"/>
          <w:numId w:val="2"/>
        </w:numPr>
        <w:spacing w:after="60" w:line="270"/>
      </w:pPr>
      <w:r>
        <w:rPr>
          <w:b/>
          <w:bCs/>
          <w:sz w:val="22"/>
          <w:szCs w:val="22"/>
        </w:rPr>
        <w:t xml:space="preserve">Outliers legítimos: </w:t>
      </w:r>
      <w:r>
        <w:rPr>
          <w:sz w:val="22"/>
          <w:szCs w:val="22"/>
        </w:rPr>
        <w:t xml:space="preserve">4 ventas de alto valor (8 % de las operaciones, 33 % de la facturación); no se eliminan, se explican.</w:t>
      </w:r>
    </w:p>
    <w:p>
      <w:pPr>
        <w:pStyle w:val="ListParagraph"/>
        <w:numPr>
          <w:ilvl w:val="0"/>
          <w:numId w:val="2"/>
        </w:numPr>
        <w:spacing w:after="60" w:line="270"/>
      </w:pPr>
      <w:r>
        <w:rPr>
          <w:b/>
          <w:bCs/>
          <w:sz w:val="22"/>
          <w:szCs w:val="22"/>
        </w:rPr>
        <w:t xml:space="preserve">Foco comercial: </w:t>
      </w:r>
      <w:r>
        <w:rPr>
          <w:sz w:val="22"/>
          <w:szCs w:val="22"/>
        </w:rPr>
        <w:t xml:space="preserve">Notebooks y Smartphones concentran el 73 % de las ventas; el canal Online lidera con 56 %.</w:t>
      </w:r>
    </w:p>
    <w:p>
      <w:pPr>
        <w:pStyle w:val="ListParagraph"/>
        <w:numPr>
          <w:ilvl w:val="0"/>
          <w:numId w:val="2"/>
        </w:numPr>
        <w:spacing w:after="60" w:line="270"/>
      </w:pPr>
      <w:r>
        <w:rPr>
          <w:b/>
          <w:bCs/>
          <w:sz w:val="22"/>
          <w:szCs w:val="22"/>
        </w:rPr>
        <w:t xml:space="preserve">Recomendación de negocio: </w:t>
      </w:r>
      <w:r>
        <w:rPr>
          <w:sz w:val="22"/>
          <w:szCs w:val="22"/>
        </w:rPr>
        <w:t xml:space="preserve">priorizar inversión de marketing en las categorías y canal líderes, y fijar metas sobre la mediana.</w:t>
      </w:r>
    </w:p>
    <w:p>
      <w:pPr>
        <w:pBdr>
          <w:left w:val="single" w:color="E0A800" w:sz="18" w:space="8"/>
        </w:pBdr>
        <w:shd w:fill="FFF4CE" w:color="auto" w:val="clear"/>
        <w:spacing w:after="140" w:before="100"/>
      </w:pPr>
      <w:r>
        <w:rPr>
          <w:b/>
          <w:bCs/>
          <w:sz w:val="20"/>
          <w:szCs w:val="20"/>
        </w:rPr>
        <w:t xml:space="preserve">Checklist antes de entregar: </w:t>
      </w:r>
      <w:r>
        <w:rPr>
          <w:sz w:val="20"/>
          <w:szCs w:val="20"/>
        </w:rPr>
        <w:t xml:space="preserve">el documento ya incluye las capturas de la consulta SQL (Figura 2) y del dashboard (Figura 3). Si lo pasás a Google Doc, verificá que tenga acceso público/de revisión y que no haya enlaces externos: todo el análisis debe entenderse solo mirando este documento.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6235feb80666b3bf881ba66e52e0f67a0ee263.png"/><Relationship Id="rId8" Type="http://schemas.openxmlformats.org/officeDocument/2006/relationships/image" Target="media/89ab2898112bcb5467da63adba1c1f3042cb36d9.png"/><Relationship Id="rId9" Type="http://schemas.openxmlformats.org/officeDocument/2006/relationships/image" Target="media/e1a64b19141128adb5dba4417b5aad5a264661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Final — Proyecto Integrador RetailPro</dc:title>
  <dc:creator>Murphy Lleyton</dc:creator>
  <cp:lastModifiedBy>Un-named</cp:lastModifiedBy>
  <cp:revision>1</cp:revision>
  <dcterms:created xsi:type="dcterms:W3CDTF">2026-09-18T13:28:47.300Z</dcterms:created>
  <dcterms:modified xsi:type="dcterms:W3CDTF">2026-09-18T13:28:47.300Z</dcterms:modified>
</cp:coreProperties>
</file>

<file path=docProps/custom.xml><?xml version="1.0" encoding="utf-8"?>
<Properties xmlns="http://schemas.openxmlformats.org/officeDocument/2006/custom-properties" xmlns:vt="http://schemas.openxmlformats.org/officeDocument/2006/docPropsVTypes"/>
</file>