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595959"/>
          <w:sz w:val="20"/>
          <w:szCs w:val="20"/>
        </w:rPr>
        <w:t xml:space="preserve">PROYECTO INTEGRADOR RetailPro · Módulo 10</w:t>
      </w:r>
    </w:p>
    <w:p>
      <w:pPr>
        <w:pBdr>
          <w:bottom w:val="single" w:color="2E74B5" w:sz="12" w:space="8"/>
        </w:pBdr>
        <w:spacing w:after="160"/>
      </w:pPr>
      <w:r>
        <w:rPr>
          <w:b/>
          <w:bCs/>
          <w:color w:val="1F3864"/>
          <w:sz w:val="40"/>
          <w:szCs w:val="40"/>
        </w:rPr>
        <w:t xml:space="preserve">Pre-entrega: Validación estadística del proyecto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Alumno: </w:t>
      </w:r>
      <w:r>
        <w:rPr>
          <w:sz w:val="22"/>
          <w:szCs w:val="22"/>
        </w:rPr>
        <w:t xml:space="preserve">Murphy, Lleyton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Dataset validado: </w:t>
      </w:r>
      <w:r>
        <w:rPr>
          <w:sz w:val="22"/>
          <w:szCs w:val="22"/>
        </w:rPr>
        <w:t xml:space="preserve">ventas.total_venta — Pipeline_ETL_Dataset.xlsx (proyecto TechStore/RetailPro, n = 50 registros)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Herramientas: </w:t>
      </w:r>
      <w:r>
        <w:rPr>
          <w:sz w:val="22"/>
          <w:szCs w:val="22"/>
        </w:rPr>
        <w:t xml:space="preserve">SQL (PERCENTILE_CONT / STDDEV_SAMP) + verificación en Python. Dispersión medida como desviación estándar muestral.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Resumen ejecutivo</w:t>
      </w:r>
    </w:p>
    <w:p>
      <w:pPr>
        <w:spacing w:after="120" w:line="276"/>
      </w:pPr>
      <w:r>
        <w:rPr>
          <w:sz w:val="22"/>
          <w:szCs w:val="22"/>
        </w:rPr>
        <w:t xml:space="preserve">El caso guiado (Parte 1) muestra que dos sucursales con </w:t>
      </w:r>
      <w:r>
        <w:rPr>
          <w:b/>
          <w:bCs/>
          <w:sz w:val="22"/>
          <w:szCs w:val="22"/>
        </w:rPr>
        <w:t xml:space="preserve">idéntica media (500 USD)</w:t>
      </w:r>
      <w:r>
        <w:rPr>
          <w:sz w:val="22"/>
          <w:szCs w:val="22"/>
        </w:rPr>
        <w:t xml:space="preserve"> pueden tener realidades opuestas: Norte es estable (desvío 7,91) y Sur es volátil (desvío 518,41). La media, por sí sola, engaña. </w:t>
      </w:r>
      <w:r>
        <w:rPr>
          <w:sz w:val="22"/>
          <w:szCs w:val="22"/>
        </w:rPr>
        <w:t xml:space="preserve">Al aplicar ese mismo criterio sobre los datos reales de RetailPro (Parte 2), la media del ticket (528,46) supera a la mediana (370,01) en un 43 %: el promedio está inflado por 4 ventas legítimas de alto valor. </w:t>
      </w:r>
      <w:r>
        <w:rPr>
          <w:b/>
          <w:bCs/>
          <w:sz w:val="22"/>
          <w:szCs w:val="22"/>
        </w:rPr>
        <w:t xml:space="preserve">Conclusión: el KPI “Ticket Promedio” del dashboard no es representativo por sí solo y se ajusta el visual (ver sección final).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Parte 1 — Consistencia de ventas (caso guiado)</w:t>
      </w:r>
    </w:p>
    <w:p>
      <w:pPr>
        <w:spacing w:after="120" w:line="276"/>
      </w:pPr>
      <w:r>
        <w:rPr>
          <w:sz w:val="22"/>
          <w:szCs w:val="22"/>
        </w:rPr>
        <w:t xml:space="preserve">Rol: analista de una tienda de electrónica. Se comparan las ventas diarias (USD) de dos sucursales durante 5 días laborales para determinar cuál es más estable. Los cinco valores se tratan como una </w:t>
      </w:r>
      <w:r>
        <w:rPr>
          <w:i/>
          <w:iCs/>
          <w:sz w:val="22"/>
          <w:szCs w:val="22"/>
        </w:rPr>
        <w:t xml:space="preserve">muestra</w:t>
      </w:r>
      <w:r>
        <w:rPr>
          <w:sz w:val="22"/>
          <w:szCs w:val="22"/>
        </w:rPr>
        <w:t xml:space="preserve"> de la operación anual, por lo que la dispersión se calcula con la desviación estándar muestral (denominador n−1).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Datos de origen</w:t>
      </w:r>
    </w:p>
    <w:tbl>
      <w:tblPr>
        <w:tblW w:type="dxa" w:w="8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1140"/>
        <w:gridCol w:w="1140"/>
        <w:gridCol w:w="1140"/>
        <w:gridCol w:w="1140"/>
        <w:gridCol w:w="114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Sucursal</w:t>
            </w:r>
          </w:p>
        </w:tc>
        <w:tc>
          <w:tcPr>
            <w:tcW w:type="dxa" w:w="114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 1</w:t>
            </w:r>
          </w:p>
        </w:tc>
        <w:tc>
          <w:tcPr>
            <w:tcW w:type="dxa" w:w="114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 2</w:t>
            </w:r>
          </w:p>
        </w:tc>
        <w:tc>
          <w:tcPr>
            <w:tcW w:type="dxa" w:w="114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 3</w:t>
            </w:r>
          </w:p>
        </w:tc>
        <w:tc>
          <w:tcPr>
            <w:tcW w:type="dxa" w:w="114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 4</w:t>
            </w:r>
          </w:p>
        </w:tc>
        <w:tc>
          <w:tcPr>
            <w:tcW w:type="dxa" w:w="114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 5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Norte</w:t>
            </w:r>
          </w:p>
        </w:tc>
        <w:tc>
          <w:tcPr>
            <w:tcW w:type="dxa" w:w="11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1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510</w:t>
            </w:r>
          </w:p>
        </w:tc>
        <w:tc>
          <w:tcPr>
            <w:tcW w:type="dxa" w:w="11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490</w:t>
            </w:r>
          </w:p>
        </w:tc>
        <w:tc>
          <w:tcPr>
            <w:tcW w:type="dxa" w:w="11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505</w:t>
            </w:r>
          </w:p>
        </w:tc>
        <w:tc>
          <w:tcPr>
            <w:tcW w:type="dxa" w:w="11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495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Sur</w:t>
            </w:r>
          </w:p>
        </w:tc>
        <w:tc>
          <w:tcPr>
            <w:tcW w:type="dxa" w:w="114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14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114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14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1.200</w:t>
            </w:r>
          </w:p>
        </w:tc>
        <w:tc>
          <w:tcPr>
            <w:tcW w:type="dxa" w:w="114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Medidas calculadas</w:t>
      </w:r>
    </w:p>
    <w:tbl>
      <w:tblPr>
        <w:tblW w:type="dxa" w:w="92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900"/>
        <w:gridCol w:w="1600"/>
        <w:gridCol w:w="1600"/>
        <w:gridCol w:w="1750"/>
        <w:gridCol w:w="235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Sucursal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17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Desv. est. muestral</w:t>
            </w:r>
          </w:p>
        </w:tc>
        <w:tc>
          <w:tcPr>
            <w:tcW w:type="dxa" w:w="23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Norte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500,00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7,91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Muy estable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Sur</w:t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500,00</w:t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1.150</w:t>
            </w:r>
          </w:p>
        </w:tc>
        <w:tc>
          <w:tcPr>
            <w:tcW w:type="dxa" w:w="175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518,41</w:t>
            </w:r>
          </w:p>
        </w:tc>
        <w:tc>
          <w:tcPr>
            <w:tcW w:type="dxa" w:w="235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Muy volátil</w:t>
            </w:r>
          </w:p>
        </w:tc>
      </w:tr>
    </w:tbl>
    <w:p>
      <w:pPr>
        <w:spacing w:after="120" w:before="60"/>
      </w:pPr>
      <w:r>
        <w:rPr>
          <w:i/>
          <w:iCs/>
          <w:color w:val="595959"/>
          <w:sz w:val="18"/>
          <w:szCs w:val="18"/>
        </w:rPr>
        <w:t xml:space="preserve">Detalle del cálculo (Sur): media = 2.500 / 5 = 500 · rango = 1.200 − 50 = 1.150 · varianza muestral = 1.075.000 / 4 = 268.750 · √268.750 ≈ 518,41.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Verificación SQL: STDDEV_SAMP(venta) sobre la tabla ventas_semana devuelve Norte ≈ 7,91 y Sur ≈ 518,41, coincidiendo con el cálculo manual.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Conclusión (Parte 1)</w:t>
      </w:r>
    </w:p>
    <w:p>
      <w:pPr>
        <w:spacing w:after="120" w:line="276"/>
      </w:pPr>
      <w:r>
        <w:rPr>
          <w:sz w:val="22"/>
          <w:szCs w:val="22"/>
        </w:rPr>
        <w:t xml:space="preserve">Preferiría gestionar la </w:t>
      </w:r>
      <w:r>
        <w:rPr>
          <w:b/>
          <w:bCs/>
          <w:sz w:val="22"/>
          <w:szCs w:val="22"/>
        </w:rPr>
        <w:t xml:space="preserve">Sucursal Norte</w:t>
      </w:r>
      <w:r>
        <w:rPr>
          <w:sz w:val="22"/>
          <w:szCs w:val="22"/>
        </w:rPr>
        <w:t xml:space="preserve">. Aunque ambas facturan lo mismo en promedio (500 USD), su desviación estándar es de solo 7,91 frente a los 518,41 de Sur: Norte es predecible y permite planificar stock, personal y caja con confianza. </w:t>
      </w:r>
      <w:r>
        <w:rPr>
          <w:sz w:val="22"/>
          <w:szCs w:val="22"/>
        </w:rPr>
        <w:t xml:space="preserve">La facturación de Sur oscila entre 50 y 1.200 USD, lo que genera riesgo operativo (quiebres de stock o sobrestock) pese a la misma media. La media sin una medida de dispersión oculta el riesgo real.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Parte 2 — Validación estadística de RetailPro</w:t>
      </w:r>
    </w:p>
    <w:p>
      <w:pPr>
        <w:spacing w:after="120" w:line="276"/>
      </w:pPr>
      <w:r>
        <w:rPr>
          <w:sz w:val="22"/>
          <w:szCs w:val="22"/>
        </w:rPr>
        <w:t xml:space="preserve">Se aplican los mismos conceptos sobre la columna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total_venta</w:t>
      </w:r>
      <w:r>
        <w:rPr>
          <w:sz w:val="22"/>
          <w:szCs w:val="22"/>
        </w:rPr>
        <w:t xml:space="preserve"> del dataset real del proyecto (tabla ventas, 50 registros ya depurados en el pipeline ETL). El objetivo es verificar que los KPIs del dashboard son estadísticamente confiables.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a) Ticket promedio real vs. representativo</w:t>
      </w:r>
    </w:p>
    <w:tbl>
      <w:tblPr>
        <w:tblW w:type="dxa" w:w="8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1900"/>
        <w:gridCol w:w="32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(USD)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Lectura</w:t>
            </w:r>
          </w:p>
        </w:tc>
      </w:tr>
      <w:t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 (AVG)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528,46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Promedio aritmético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Mediana (P50)</w:t>
            </w:r>
          </w:p>
        </w:tc>
        <w:tc>
          <w:tcPr>
            <w:tcW w:type="dxa" w:w="19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370,01</w:t>
            </w:r>
          </w:p>
        </w:tc>
        <w:tc>
          <w:tcPr>
            <w:tcW w:type="dxa" w:w="32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central típico</w:t>
            </w:r>
          </w:p>
        </w:tc>
      </w:tr>
      <w:t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Diferencia media − mediana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158,45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43 % por encima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La media (528,46) y la mediana (370,01) </w:t>
      </w:r>
      <w:r>
        <w:rPr>
          <w:b/>
          <w:bCs/>
          <w:sz w:val="22"/>
          <w:szCs w:val="22"/>
        </w:rPr>
        <w:t xml:space="preserve">no son similares: difieren en un 43 %</w:t>
      </w:r>
      <w:r>
        <w:rPr>
          <w:sz w:val="22"/>
          <w:szCs w:val="22"/>
        </w:rPr>
        <w:t xml:space="preserve">. Cuando la media supera claramente a la mediana, la distribución está </w:t>
      </w:r>
      <w:r>
        <w:rPr>
          <w:b/>
          <w:bCs/>
          <w:sz w:val="22"/>
          <w:szCs w:val="22"/>
        </w:rPr>
        <w:t xml:space="preserve">sesgada a la derecha (cola positiva)</w:t>
      </w:r>
      <w:r>
        <w:rPr>
          <w:sz w:val="22"/>
          <w:szCs w:val="22"/>
        </w:rPr>
        <w:t xml:space="preserve">: unas pocas ventas muy grandes empujan el promedio hacia arriba, mientras que la mayoría de las operaciones son más chicas (la mitad de los tickets está por debajo de 370). </w:t>
      </w:r>
    </w:p>
    <w:p>
      <w:pPr>
        <w:spacing w:after="120" w:line="276"/>
      </w:pPr>
      <w:r>
        <w:rPr>
          <w:sz w:val="22"/>
          <w:szCs w:val="22"/>
        </w:rPr>
        <w:t xml:space="preserve">Por lo tanto, el KPI “Ticket Promedio” del dashboard </w:t>
      </w:r>
      <w:r>
        <w:rPr>
          <w:b/>
          <w:bCs/>
          <w:color w:val="C00000"/>
          <w:sz w:val="22"/>
          <w:szCs w:val="22"/>
        </w:rPr>
        <w:t xml:space="preserve">está inflado por ventas extremas y no representa al cliente típico</w:t>
      </w:r>
      <w:r>
        <w:rPr>
          <w:sz w:val="22"/>
          <w:szCs w:val="22"/>
        </w:rPr>
        <w:t xml:space="preserve">. Un gerente que lea “528” creería que el ticket habitual ronda ese valor, cuando en realidad la mitad de las ventas no llega a 370.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b) Detección de outliers con el método IQR</w:t>
      </w:r>
    </w:p>
    <w:tbl>
      <w:tblPr>
        <w:tblW w:type="dxa" w:w="8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600"/>
        <w:gridCol w:w="2100"/>
        <w:gridCol w:w="26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Estadístico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(USD)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Q1 (cuartil 1)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179,61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PERCENTILE_CONT(0,25)</w:t>
            </w:r>
          </w:p>
        </w:tc>
      </w:tr>
      <w:tr>
        <w:tc>
          <w:tcPr>
            <w:tcW w:type="dxa" w:w="3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Q3 (cuartil 3)</w:t>
            </w:r>
          </w:p>
        </w:tc>
        <w:tc>
          <w:tcPr>
            <w:tcW w:type="dxa" w:w="21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739,80</w:t>
            </w:r>
          </w:p>
        </w:tc>
        <w:tc>
          <w:tcPr>
            <w:tcW w:type="dxa" w:w="2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PERCENTILE_CONT(0,75)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IQR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560,19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Q3 − Q1</w:t>
            </w:r>
          </w:p>
        </w:tc>
      </w:tr>
      <w:tr>
        <w:tc>
          <w:tcPr>
            <w:tcW w:type="dxa" w:w="3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Límite inferior</w:t>
            </w:r>
          </w:p>
        </w:tc>
        <w:tc>
          <w:tcPr>
            <w:tcW w:type="dxa" w:w="21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−660,67</w:t>
            </w:r>
          </w:p>
        </w:tc>
        <w:tc>
          <w:tcPr>
            <w:tcW w:type="dxa" w:w="2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Q1 − 1,5 × IQR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Límite superior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1.580,08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+ 1,5 × IQR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Ningún valor cae por debajo del límite inferior (no hay ventas negativas). Por encima del límite superior (1.580,08) hay </w:t>
      </w:r>
      <w:r>
        <w:rPr>
          <w:b/>
          <w:bCs/>
          <w:sz w:val="22"/>
          <w:szCs w:val="22"/>
        </w:rPr>
        <w:t xml:space="preserve">4 registros outliers</w:t>
      </w:r>
      <w:r>
        <w:rPr>
          <w:sz w:val="22"/>
          <w:szCs w:val="22"/>
        </w:rPr>
        <w:t xml:space="preserve"> — el 8 % de las operaciones, pero el 33 % de la facturación total:</w:t>
      </w:r>
    </w:p>
    <w:tbl>
      <w:tblPr>
        <w:tblW w:type="dxa" w:w="8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500"/>
        <w:gridCol w:w="3100"/>
        <w:gridCol w:w="1300"/>
        <w:gridCol w:w="1300"/>
        <w:gridCol w:w="16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id_venta</w:t>
            </w:r>
          </w:p>
        </w:tc>
        <w:tc>
          <w:tcPr>
            <w:tcW w:type="dxa" w:w="3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¿Error o negocio?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HP Pavilion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3.682,00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Negocio legítimo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Lenovo IdeaPad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1.700,00</w:t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Negocio legítimo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HP Pavilion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1.748,95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Negocio legítimo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1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Samsung Galaxy A54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1.596,00</w:t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Negocio legítimo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Interpretación: los cuatro outliers son </w:t>
      </w:r>
      <w:r>
        <w:rPr>
          <w:b/>
          <w:bCs/>
          <w:sz w:val="22"/>
          <w:szCs w:val="22"/>
        </w:rPr>
        <w:t xml:space="preserve">eventos legítimos de negocio, no errores de carga</w:t>
      </w:r>
      <w:r>
        <w:rPr>
          <w:sz w:val="22"/>
          <w:szCs w:val="22"/>
        </w:rPr>
        <w:t xml:space="preserve">. Todos corresponden a productos de alto precio unitario (notebooks de 850–920 USD y un smartphone de 399 USD) comprados en cantidades de 2 a 4 unidades, y en cada caso se cumple precio_unitario × cantidad − descuento = total_venta. Son ventas mayoristas/de ticket alto reales: no deben eliminarse, pero sí explican por qué la media se despega de la mediana.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c) Conexión con el dashboard</w:t>
      </w:r>
    </w:p>
    <w:p>
      <w:pPr>
        <w:spacing w:after="120" w:line="276"/>
      </w:pPr>
      <w:r>
        <w:rPr>
          <w:sz w:val="22"/>
          <w:szCs w:val="22"/>
        </w:rPr>
        <w:t xml:space="preserve">Los KPIs actuales del proyecto se construyen sobre </w:t>
      </w:r>
      <w:r>
        <w:rPr>
          <w:rFonts w:ascii="Consolas" w:cs="Consolas" w:eastAsia="Consolas" w:hAnsi="Consolas"/>
          <w:sz w:val="22"/>
          <w:szCs w:val="22"/>
        </w:rPr>
        <w:t xml:space="preserve">SUM(Fact_Ventas[total_venta])</w:t>
      </w:r>
      <w:r>
        <w:rPr>
          <w:sz w:val="22"/>
          <w:szCs w:val="22"/>
        </w:rPr>
        <w:t xml:space="preserve"> (medida </w:t>
      </w:r>
      <w:r>
        <w:rPr>
          <w:i/>
          <w:iCs/>
          <w:sz w:val="22"/>
          <w:szCs w:val="22"/>
        </w:rPr>
        <w:t xml:space="preserve">Total Ventas</w:t>
      </w:r>
      <w:r>
        <w:rPr>
          <w:sz w:val="22"/>
          <w:szCs w:val="22"/>
        </w:rPr>
        <w:t xml:space="preserve">, y sus derivadas Ventas Online, YTD, LY y % Crecimiento Anual). El hallazgo estadístico </w:t>
      </w:r>
      <w:r>
        <w:rPr>
          <w:b/>
          <w:bCs/>
          <w:sz w:val="22"/>
          <w:szCs w:val="22"/>
        </w:rPr>
        <w:t xml:space="preserve">confirma un riesgo</w:t>
      </w:r>
      <w:r>
        <w:rPr>
          <w:sz w:val="22"/>
          <w:szCs w:val="22"/>
        </w:rPr>
        <w:t xml:space="preserve"> en cualquier tarjeta que muestre un “promedio” de ticket: al estar sesgado por los 4 outliers, un único número de ticket promedio comunica mal.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 w:val="false"/>
          <w:bCs w:val="false"/>
          <w:sz w:val="22"/>
          <w:szCs w:val="22"/>
        </w:rPr>
        <w:t xml:space="preserve">Se agrega un KPI de Mediana del Ticket (370) junto al de Ticket Promedio (528), para que el gerente vea ambos y entienda la dispersión.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 w:val="false"/>
          <w:bCs w:val="false"/>
          <w:sz w:val="22"/>
          <w:szCs w:val="22"/>
        </w:rPr>
        <w:t xml:space="preserve">Se añade una nota aclaratoria en el visual: “Promedio influido por ventas de alto valor (4 operaciones = 33 % de la facturación).”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 w:val="false"/>
          <w:bCs w:val="false"/>
          <w:sz w:val="22"/>
          <w:szCs w:val="22"/>
        </w:rPr>
        <w:t xml:space="preserve">Se ajusta el título narrativo del visual de ticket.</w:t>
      </w:r>
    </w:p>
    <w:tbl>
      <w:tblPr>
        <w:tblW w:type="dxa" w:w="8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 anterior (M7)</w:t>
            </w:r>
          </w:p>
        </w:tc>
        <w:tc>
          <w:tcPr>
            <w:tcW w:type="dxa" w:w="4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 ajustado</w:t>
            </w:r>
          </w:p>
        </w:tc>
      </w:tr>
      <w:t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“Ticket Promedio: $528”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“Ticket típico $370 (mediana) — promedio $528 elevado por ventas de alto valor”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Ajustes aplicados al dashboard</w:t>
      </w:r>
    </w:p>
    <w:p>
      <w:pPr>
        <w:spacing w:after="120" w:line="276"/>
      </w:pPr>
      <w:r>
        <w:rPr>
          <w:sz w:val="22"/>
          <w:szCs w:val="22"/>
        </w:rPr>
        <w:t xml:space="preserve">A partir de la validación estadística se realizaron los siguientes ajustes sobre el boceto de M7, para que los KPIs sean confiables y no induzcan a conclusiones erróneas:</w:t>
      </w:r>
    </w:p>
    <w:tbl>
      <w:tblPr>
        <w:tblW w:type="dxa" w:w="8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3200"/>
        <w:gridCol w:w="2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Después del hallazgo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KPI de ticket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Ticket Promedio (528)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 Promedio + Mediana del Ticket (370)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 narrativo</w:t>
            </w:r>
          </w:p>
        </w:tc>
        <w:tc>
          <w:tcPr>
            <w:tcW w:type="dxa" w:w="32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“Ticket Promedio: $528”</w:t>
            </w:r>
          </w:p>
        </w:tc>
        <w:tc>
          <w:tcPr>
            <w:tcW w:type="dxa" w:w="28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“Ticket típico $370 — promedio elevado por ventas de alto valor”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Nota aclaratoria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ventas (8 %) concentran el 33 % de la facturación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Tratamiento de outliers</w:t>
            </w:r>
          </w:p>
        </w:tc>
        <w:tc>
          <w:tcPr>
            <w:tcW w:type="dxa" w:w="32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revisar</w:t>
            </w:r>
          </w:p>
        </w:tc>
        <w:tc>
          <w:tcPr>
            <w:tcW w:type="dxa" w:w="28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Confirmados como ventas legítimas; se conservan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Cierre: </w:t>
      </w:r>
      <w:r>
        <w:rPr>
          <w:sz w:val="22"/>
          <w:szCs w:val="22"/>
        </w:rPr>
        <w:t xml:space="preserve">sí se ajustaron un KPI y un título narrativo. El dashboard pasa de mostrar un único promedio potencialmente engañoso a mostrar media y mediana juntas con una nota de contexto, de modo que el monitoreo rápido siga siendo honesto respecto de la distribución real de las ventas.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Pre-entrega: Validación estadística del proyecto</dc:title>
  <dc:creator>Murphy Lleyton</dc:creator>
  <cp:lastModifiedBy>Un-named</cp:lastModifiedBy>
  <cp:revision>1</cp:revision>
  <dcterms:created xsi:type="dcterms:W3CDTF">2026-09-18T13:13:25.511Z</dcterms:created>
  <dcterms:modified xsi:type="dcterms:W3CDTF">2026-09-18T13:13:25.511Z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