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left"/>
      </w:pPr>
      <w:r>
        <w:rPr>
          <w:b/>
          <w:bCs/>
          <w:color w:val="2E74B5"/>
          <w:sz w:val="24"/>
          <w:szCs w:val="24"/>
        </w:rPr>
        <w:t xml:space="preserve">Módulo 10 — Pre-entrega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Validación estadística del proyecto</w:t>
      </w:r>
    </w:p>
    <w:p>
      <w:pPr>
        <w:spacing w:after="200"/>
      </w:pPr>
      <w:r>
        <w:rPr>
          <w:i/>
          <w:iCs/>
          <w:color w:val="444444"/>
          <w:sz w:val="24"/>
          <w:szCs w:val="24"/>
        </w:rPr>
        <w:t xml:space="preserve">Proyecto integrador RetailPro · Dashboards en Power BI Service</w:t>
      </w:r>
    </w:p>
    <w:tbl>
      <w:tblPr>
        <w:tblW w:type="dxa" w:w="6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800"/>
        <w:gridCol w:w="42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4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Alumno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Murphy, Lleyton</w:t>
            </w:r>
          </w:p>
        </w:tc>
      </w:tr>
      <w:tr>
        <w:tc>
          <w:tcPr>
            <w:tcW w:type="dxa" w:w="18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Proyecto</w:t>
            </w:r>
          </w:p>
        </w:tc>
        <w:tc>
          <w:tcPr>
            <w:tcW w:type="dxa" w:w="42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RetailPro (dataset TechStore — Fact_Ventas)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Entregable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Validación estadística (Parte 1 + Parte 2)</w:t>
            </w:r>
          </w:p>
        </w:tc>
      </w:tr>
      <w:tr>
        <w:tc>
          <w:tcPr>
            <w:tcW w:type="dxa" w:w="18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Herramientas</w:t>
            </w:r>
          </w:p>
        </w:tc>
        <w:tc>
          <w:tcPr>
            <w:tcW w:type="dxa" w:w="42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SQL (PERCENTILE_CONT / STDDEV_SAMP) · Power BI</w:t>
            </w:r>
          </w:p>
        </w:tc>
      </w:tr>
    </w:tbl>
    <w:p>
      <w:pPr>
        <w:pBdr>
          <w:bottom w:val="single" w:color="DCE6F1" w:sz="6"/>
        </w:pBdr>
        <w:spacing w:after="160" w:before="60"/>
      </w:pPr>
      <w:r>
        <w:t xml:space="preserve"/>
      </w:r>
    </w:p>
    <w:p>
      <w:pPr>
        <w:spacing w:after="120" w:line="276"/>
      </w:pPr>
      <w:r>
        <w:rPr>
          <w:color w:val="444444"/>
          <w:sz w:val="22"/>
          <w:szCs w:val="22"/>
        </w:rPr>
        <w:t xml:space="preserve">Este documento reúne las dos partes solicitadas: </w:t>
      </w:r>
      <w:r>
        <w:rPr>
          <w:b/>
          <w:bCs/>
          <w:color w:val="1F3864"/>
          <w:sz w:val="22"/>
          <w:szCs w:val="22"/>
        </w:rPr>
        <w:t xml:space="preserve">Parte 1</w:t>
      </w:r>
      <w:r>
        <w:rPr>
          <w:color w:val="444444"/>
          <w:sz w:val="22"/>
          <w:szCs w:val="22"/>
        </w:rPr>
        <w:t xml:space="preserve"> — caso guiado de tendencia central y dispersión sobre dos sucursales; y </w:t>
      </w:r>
      <w:r>
        <w:rPr>
          <w:b/>
          <w:bCs/>
          <w:color w:val="1F3864"/>
          <w:sz w:val="22"/>
          <w:szCs w:val="22"/>
        </w:rPr>
        <w:t xml:space="preserve">Parte 2</w:t>
      </w:r>
      <w:r>
        <w:rPr>
          <w:color w:val="444444"/>
          <w:sz w:val="22"/>
          <w:szCs w:val="22"/>
        </w:rPr>
        <w:t xml:space="preserve"> — validación estadística sobre los datos reales de RetailPro (media vs. mediana y detección de outliers por IQR). Cierra con una sección que indica los ajustes aplicados a los KPIs y al título narrativo del dashboard.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Parte 1 — Consistencia de ventas (caso guiado)</w:t>
      </w:r>
    </w:p>
    <w:p>
      <w:pPr>
        <w:spacing w:after="120" w:line="276"/>
      </w:pPr>
      <w:r>
        <w:rPr>
          <w:color w:val="444444"/>
          <w:sz w:val="22"/>
          <w:szCs w:val="22"/>
        </w:rPr>
        <w:t xml:space="preserve">Se analizan las ventas diarias (USD) de dos sucursales de una tienda de electrónica durante 5 días laborales, para determinar cuál es más estable. Se asume que los datos son una </w:t>
      </w:r>
      <w:r>
        <w:rPr>
          <w:i/>
          <w:iCs/>
          <w:color w:val="444444"/>
          <w:sz w:val="22"/>
          <w:szCs w:val="22"/>
        </w:rPr>
        <w:t xml:space="preserve">muestra</w:t>
      </w:r>
      <w:r>
        <w:rPr>
          <w:color w:val="444444"/>
          <w:sz w:val="22"/>
          <w:szCs w:val="22"/>
        </w:rPr>
        <w:t xml:space="preserve"> de la operación anual, por lo que se usa la desviación estándar </w:t>
      </w:r>
      <w:r>
        <w:rPr>
          <w:b/>
          <w:bCs/>
          <w:color w:val="444444"/>
          <w:sz w:val="22"/>
          <w:szCs w:val="22"/>
        </w:rPr>
        <w:t xml:space="preserve">muestral</w:t>
      </w:r>
      <w:r>
        <w:rPr>
          <w:color w:val="444444"/>
          <w:sz w:val="22"/>
          <w:szCs w:val="22"/>
        </w:rPr>
        <w:t xml:space="preserve"> (denominador n − 1).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6"/>
          <w:szCs w:val="26"/>
        </w:rPr>
        <w:t xml:space="preserve">Datos</w:t>
      </w:r>
    </w:p>
    <w:tbl>
      <w:tblPr>
        <w:tblW w:type="dxa" w:w="6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200"/>
        <w:gridCol w:w="3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Sucursal</w:t>
            </w:r>
          </w:p>
        </w:tc>
        <w:tc>
          <w:tcPr>
            <w:tcW w:type="dxa" w:w="3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Ventas diarias (USD)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Norte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500 · 510 · 490 · 505 · 495</w:t>
            </w:r>
          </w:p>
        </w:tc>
      </w:tr>
      <w:tr>
        <w:tc>
          <w:tcPr>
            <w:tcW w:type="dxa" w:w="22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Sur</w:t>
            </w:r>
          </w:p>
        </w:tc>
        <w:tc>
          <w:tcPr>
            <w:tcW w:type="dxa" w:w="38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100 · 900 · 50 · 1.200 · 250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2E74B5"/>
          <w:sz w:val="26"/>
          <w:szCs w:val="26"/>
        </w:rPr>
        <w:t xml:space="preserve">Resultados</w:t>
      </w:r>
    </w:p>
    <w:tbl>
      <w:tblPr>
        <w:tblW w:type="dxa" w:w="6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Medida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Norte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Sur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Fórmula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Media (x̄)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500,00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500,00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Σx / n</w:t>
            </w:r>
          </w:p>
        </w:tc>
      </w:tr>
      <w:tr>
        <w:tc>
          <w:tcPr>
            <w:tcW w:type="dxa" w:w="15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Rango</w:t>
            </w:r>
          </w:p>
        </w:tc>
        <w:tc>
          <w:tcPr>
            <w:tcW w:type="dxa" w:w="15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20,00</w:t>
            </w:r>
          </w:p>
        </w:tc>
        <w:tc>
          <w:tcPr>
            <w:tcW w:type="dxa" w:w="15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1.150,00</w:t>
            </w:r>
          </w:p>
        </w:tc>
        <w:tc>
          <w:tcPr>
            <w:tcW w:type="dxa" w:w="15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máx − mín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Desv. estándar muestral (s)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7,91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518,41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√(Σ(x−x̄)² / (n−1))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1F3864"/>
          <w:sz w:val="21"/>
          <w:szCs w:val="21"/>
        </w:rPr>
        <w:t xml:space="preserve">Detalle del cálculo de s: </w:t>
      </w:r>
      <w:r>
        <w:rPr>
          <w:color w:val="444444"/>
          <w:sz w:val="21"/>
          <w:szCs w:val="21"/>
        </w:rPr>
        <w:t xml:space="preserve">Norte → Σ(x−x̄)² = 250 ⇒ s = √(250/4) = √62,5 = 7,91.   Sur → Σ(x−x̄)² = 1.075.000 ⇒ s = √(1.075.000/4) = √268.750 = 518,41.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6"/>
          <w:szCs w:val="26"/>
        </w:rPr>
        <w:t xml:space="preserve">Conclusión (3 líneas)</w:t>
      </w:r>
    </w:p>
    <w:p>
      <w:pPr>
        <w:spacing w:after="120" w:line="276"/>
      </w:pPr>
      <w:r>
        <w:rPr>
          <w:color w:val="444444"/>
          <w:sz w:val="22"/>
          <w:szCs w:val="22"/>
        </w:rPr>
        <w:t xml:space="preserve">Ambas sucursales facturan lo mismo en promedio (media = 500 USD), pero su dispersión es radicalmente distinta: Norte tiene s ≈ 7,91 y rango 20, mientras que Sur tiene s ≈ 518,41 y rango 1.150. </w:t>
      </w:r>
      <w:r>
        <w:rPr>
          <w:b/>
          <w:bCs/>
          <w:color w:val="1F3864"/>
          <w:sz w:val="22"/>
          <w:szCs w:val="22"/>
        </w:rPr>
        <w:t xml:space="preserve">Preferiría gestionar la sucursal Norte</w:t>
      </w:r>
      <w:r>
        <w:rPr>
          <w:color w:val="444444"/>
          <w:sz w:val="22"/>
          <w:szCs w:val="22"/>
        </w:rPr>
        <w:t xml:space="preserve">, porque su baja variabilidad la vuelve predecible y fácil de planificar (stock, personal, caja). La media de Sur es engañosa: ese mismo promedio esconde días de casi cero y días extremos, un riesgo operativo que el promedio por sí solo no revela.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Parte 2 — Validación estadística de RetailPro</w:t>
      </w:r>
    </w:p>
    <w:p>
      <w:pPr>
        <w:spacing w:after="120" w:line="276"/>
      </w:pPr>
      <w:r>
        <w:rPr>
          <w:color w:val="444444"/>
          <w:sz w:val="22"/>
          <w:szCs w:val="22"/>
        </w:rPr>
        <w:t xml:space="preserve">Se aplican los mismos conceptos sobre la tabla de hechos real del proyecto (</w:t>
      </w:r>
      <w:r>
        <w:rPr>
          <w:i/>
          <w:iCs/>
          <w:color w:val="444444"/>
          <w:sz w:val="22"/>
          <w:szCs w:val="22"/>
        </w:rPr>
        <w:t xml:space="preserve">Fact_Ventas</w:t>
      </w:r>
      <w:r>
        <w:rPr>
          <w:color w:val="444444"/>
          <w:sz w:val="22"/>
          <w:szCs w:val="22"/>
        </w:rPr>
        <w:t xml:space="preserve">), columna </w:t>
      </w:r>
      <w:r>
        <w:rPr>
          <w:i/>
          <w:iCs/>
          <w:color w:val="444444"/>
          <w:sz w:val="22"/>
          <w:szCs w:val="22"/>
        </w:rPr>
        <w:t xml:space="preserve">total_venta</w:t>
      </w:r>
      <w:r>
        <w:rPr>
          <w:color w:val="444444"/>
          <w:sz w:val="22"/>
          <w:szCs w:val="22"/>
        </w:rPr>
        <w:t xml:space="preserve">, con </w:t>
      </w:r>
      <w:r>
        <w:rPr>
          <w:b/>
          <w:bCs/>
          <w:color w:val="444444"/>
          <w:sz w:val="22"/>
          <w:szCs w:val="22"/>
        </w:rPr>
        <w:t xml:space="preserve">n = 50</w:t>
      </w:r>
      <w:r>
        <w:rPr>
          <w:color w:val="444444"/>
          <w:sz w:val="22"/>
          <w:szCs w:val="22"/>
        </w:rPr>
        <w:t xml:space="preserve"> registros de ventas limpios (2023–2024). Los percentiles se calculan con PERCENTILE_CONT (interpolación lineal), tal como el paso guiado en SQL.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6"/>
          <w:szCs w:val="26"/>
        </w:rPr>
        <w:t xml:space="preserve">a) Ticket promedio: media vs. mediana</w:t>
      </w:r>
    </w:p>
    <w:tbl>
      <w:tblPr>
        <w:tblW w:type="dxa" w:w="6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600"/>
        <w:gridCol w:w="1500"/>
        <w:gridCol w:w="19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Medida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Valor (USD)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SQL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Media (Ticket Promedio)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528,46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AVG(total_venta)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Mediana</w:t>
            </w:r>
          </w:p>
        </w:tc>
        <w:tc>
          <w:tcPr>
            <w:tcW w:type="dxa" w:w="15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370,02</w:t>
            </w:r>
          </w:p>
        </w:tc>
        <w:tc>
          <w:tcPr>
            <w:tcW w:type="dxa" w:w="19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PERCENTILE_CONT(0.5)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Diferencia media − mediana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+158,44 (+43%)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1F3864"/>
          <w:sz w:val="22"/>
          <w:szCs w:val="22"/>
        </w:rPr>
        <w:t xml:space="preserve">Interpretación. </w:t>
      </w:r>
      <w:r>
        <w:rPr>
          <w:color w:val="444444"/>
          <w:sz w:val="22"/>
          <w:szCs w:val="22"/>
        </w:rPr>
        <w:t xml:space="preserve">La media (528,46) es un 43% mayor que la mediana (370,02). Esa brecha indica una distribución </w:t>
      </w:r>
      <w:r>
        <w:rPr>
          <w:b/>
          <w:bCs/>
          <w:color w:val="444444"/>
          <w:sz w:val="22"/>
          <w:szCs w:val="22"/>
        </w:rPr>
        <w:t xml:space="preserve">asimétrica a la derecha (sesgo positivo)</w:t>
      </w:r>
      <w:r>
        <w:rPr>
          <w:color w:val="444444"/>
          <w:sz w:val="22"/>
          <w:szCs w:val="22"/>
        </w:rPr>
        <w:t xml:space="preserve">: un grupo reducido de ventas muy altas empuja el promedio hacia arriba, mientras que la venta </w:t>
      </w:r>
      <w:r>
        <w:rPr>
          <w:i/>
          <w:iCs/>
          <w:color w:val="444444"/>
          <w:sz w:val="22"/>
          <w:szCs w:val="22"/>
        </w:rPr>
        <w:t xml:space="preserve">típica</w:t>
      </w:r>
      <w:r>
        <w:rPr>
          <w:color w:val="444444"/>
          <w:sz w:val="22"/>
          <w:szCs w:val="22"/>
        </w:rPr>
        <w:t xml:space="preserve"> ronda los 370 USD. Conclusión: el KPI </w:t>
      </w:r>
      <w:r>
        <w:rPr>
          <w:b/>
          <w:bCs/>
          <w:color w:val="1F3864"/>
          <w:sz w:val="22"/>
          <w:szCs w:val="22"/>
        </w:rPr>
        <w:t xml:space="preserve">“Ticket Promedio” de 528 USD está inflado</w:t>
      </w:r>
      <w:r>
        <w:rPr>
          <w:color w:val="444444"/>
          <w:sz w:val="22"/>
          <w:szCs w:val="22"/>
        </w:rPr>
        <w:t xml:space="preserve"> por ventas extremas y no es representativo del cliente habitual; la mediana describe mejor a la mayoría.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6"/>
          <w:szCs w:val="26"/>
        </w:rPr>
        <w:t xml:space="preserve">b) Detección de outliers (método IQR)</w:t>
      </w:r>
    </w:p>
    <w:tbl>
      <w:tblPr>
        <w:tblW w:type="dxa" w:w="6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900"/>
        <w:gridCol w:w="1600"/>
        <w:gridCol w:w="150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Parámetro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Valor (USD)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Cálculo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Q1 (cuartil 1)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179,61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PERCENTILE_CONT(0.25)</w:t>
            </w:r>
          </w:p>
        </w:tc>
      </w:tr>
      <w:tr>
        <w:tc>
          <w:tcPr>
            <w:tcW w:type="dxa" w:w="29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Q3 (cuartil 3)</w:t>
            </w:r>
          </w:p>
        </w:tc>
        <w:tc>
          <w:tcPr>
            <w:tcW w:type="dxa" w:w="16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739,80</w:t>
            </w:r>
          </w:p>
        </w:tc>
        <w:tc>
          <w:tcPr>
            <w:tcW w:type="dxa" w:w="15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PERCENTILE_CONT(0.75)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IQR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560,19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Q3 − Q1</w:t>
            </w:r>
          </w:p>
        </w:tc>
      </w:tr>
      <w:tr>
        <w:tc>
          <w:tcPr>
            <w:tcW w:type="dxa" w:w="29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Límite inferior</w:t>
            </w:r>
          </w:p>
        </w:tc>
        <w:tc>
          <w:tcPr>
            <w:tcW w:type="dxa" w:w="16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−660,67</w:t>
            </w:r>
          </w:p>
        </w:tc>
        <w:tc>
          <w:tcPr>
            <w:tcW w:type="dxa" w:w="15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Q1 − 1,5 × IQR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Límite superior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1.580,08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Q3 + 1,5 × IQR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  <w:color w:val="1F3864"/>
          <w:sz w:val="22"/>
          <w:szCs w:val="22"/>
        </w:rPr>
        <w:t xml:space="preserve">Registros fuera de los límites — </w:t>
      </w:r>
      <w:r>
        <w:rPr>
          <w:b/>
          <w:bCs/>
          <w:color w:val="444444"/>
          <w:sz w:val="22"/>
          <w:szCs w:val="22"/>
        </w:rPr>
        <w:t xml:space="preserve">4 outliers</w:t>
      </w:r>
      <w:r>
        <w:rPr>
          <w:color w:val="444444"/>
          <w:sz w:val="22"/>
          <w:szCs w:val="22"/>
        </w:rPr>
        <w:t xml:space="preserve"> (todos por encima del límite superior de 1.580,08; ninguno por debajo):</w:t>
      </w:r>
    </w:p>
    <w:tbl>
      <w:tblPr>
        <w:tblW w:type="dxa" w:w="61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000"/>
        <w:gridCol w:w="1900"/>
        <w:gridCol w:w="1200"/>
        <w:gridCol w:w="1100"/>
        <w:gridCol w:w="9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id_venta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Producto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total_venta</w:t>
            </w:r>
          </w:p>
        </w:tc>
        <w:tc>
          <w:tcPr>
            <w:tcW w:type="dxa" w:w="1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Cant. × PU − desc.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Canal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color w:val="444444"/>
                <w:sz w:val="21"/>
                <w:szCs w:val="21"/>
              </w:rPr>
              <w:t xml:space="preserve">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Notebook Lenovo IdeaPad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1.700,00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2 × 850,00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Tienda</w:t>
            </w:r>
          </w:p>
        </w:tc>
      </w:tr>
      <w:tr>
        <w:tc>
          <w:tcPr>
            <w:tcW w:type="dxa" w:w="10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color w:val="444444"/>
                <w:sz w:val="21"/>
                <w:szCs w:val="21"/>
              </w:rPr>
              <w:t xml:space="preserve">22</w:t>
            </w:r>
          </w:p>
        </w:tc>
        <w:tc>
          <w:tcPr>
            <w:tcW w:type="dxa" w:w="19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Samsung Galaxy A54</w:t>
            </w:r>
          </w:p>
        </w:tc>
        <w:tc>
          <w:tcPr>
            <w:tcW w:type="dxa" w:w="12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1.596,00</w:t>
            </w:r>
          </w:p>
        </w:tc>
        <w:tc>
          <w:tcPr>
            <w:tcW w:type="dxa" w:w="11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4 × 399,00</w:t>
            </w:r>
          </w:p>
        </w:tc>
        <w:tc>
          <w:tcPr>
            <w:tcW w:type="dxa" w:w="9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Online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color w:val="444444"/>
                <w:sz w:val="21"/>
                <w:szCs w:val="21"/>
              </w:rPr>
              <w:t xml:space="preserve">45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Notebook HP Pavilion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1.748,95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2 × 920,50 − 92,05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Tienda</w:t>
            </w:r>
          </w:p>
        </w:tc>
      </w:tr>
      <w:tr>
        <w:tc>
          <w:tcPr>
            <w:tcW w:type="dxa" w:w="10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color w:val="444444"/>
                <w:sz w:val="21"/>
                <w:szCs w:val="21"/>
              </w:rPr>
              <w:t xml:space="preserve">37</w:t>
            </w:r>
          </w:p>
        </w:tc>
        <w:tc>
          <w:tcPr>
            <w:tcW w:type="dxa" w:w="19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Notebook HP Pavilion</w:t>
            </w:r>
          </w:p>
        </w:tc>
        <w:tc>
          <w:tcPr>
            <w:tcW w:type="dxa" w:w="12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3.682,00</w:t>
            </w:r>
          </w:p>
        </w:tc>
        <w:tc>
          <w:tcPr>
            <w:tcW w:type="dxa" w:w="11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4 × 920,50</w:t>
            </w:r>
          </w:p>
        </w:tc>
        <w:tc>
          <w:tcPr>
            <w:tcW w:type="dxa" w:w="9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Online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color w:val="1F3864"/>
          <w:sz w:val="22"/>
          <w:szCs w:val="22"/>
        </w:rPr>
        <w:t xml:space="preserve">¿Errores de datos o eventos legítimos? </w:t>
      </w:r>
      <w:r>
        <w:rPr>
          <w:b/>
          <w:bCs/>
          <w:color w:val="444444"/>
          <w:sz w:val="22"/>
          <w:szCs w:val="22"/>
        </w:rPr>
        <w:t xml:space="preserve">Legítimos.</w:t>
      </w:r>
      <w:r>
        <w:rPr>
          <w:color w:val="444444"/>
          <w:sz w:val="22"/>
          <w:szCs w:val="22"/>
        </w:rPr>
        <w:t xml:space="preserve"> Cada total reconcilia exactamente con </w:t>
      </w:r>
      <w:r>
        <w:rPr>
          <w:i/>
          <w:iCs/>
          <w:color w:val="444444"/>
          <w:sz w:val="22"/>
          <w:szCs w:val="22"/>
        </w:rPr>
        <w:t xml:space="preserve">precio_unitario × cantidad − descuento</w:t>
      </w:r>
      <w:r>
        <w:rPr>
          <w:color w:val="444444"/>
          <w:sz w:val="22"/>
          <w:szCs w:val="22"/>
        </w:rPr>
        <w:t xml:space="preserve"> y corresponde a productos de alto valor (notebooks y un smartphone) comprados en cantidades de 2 a 4 unidades — compras mayoristas o corporativas, no cargas erróneas. Se conservan en el análisis; representan una franja real de negocio (ventas B2B / por volumen) que conviene monitorear, no depurar.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6"/>
          <w:szCs w:val="26"/>
        </w:rPr>
        <w:t xml:space="preserve">c) Conexión con el dashboard (boceto M7)</w:t>
      </w:r>
    </w:p>
    <w:p>
      <w:pPr>
        <w:spacing w:after="120" w:line="276"/>
      </w:pPr>
      <w:r>
        <w:rPr>
          <w:color w:val="444444"/>
          <w:sz w:val="22"/>
          <w:szCs w:val="22"/>
        </w:rPr>
        <w:t xml:space="preserve">El boceto de M7 apoya sus KPIs de facturación en la medida </w:t>
      </w:r>
      <w:r>
        <w:rPr>
          <w:i/>
          <w:iCs/>
          <w:color w:val="444444"/>
          <w:sz w:val="22"/>
          <w:szCs w:val="22"/>
        </w:rPr>
        <w:t xml:space="preserve">Total Ventas = SUM(Fact_Ventas[total_venta])</w:t>
      </w:r>
      <w:r>
        <w:rPr>
          <w:color w:val="444444"/>
          <w:sz w:val="22"/>
          <w:szCs w:val="22"/>
        </w:rPr>
        <w:t xml:space="preserve">, de la cual se deriva naturalmente un “Ticket Promedio”. El hallazgo estadístico </w:t>
      </w:r>
      <w:r>
        <w:rPr>
          <w:b/>
          <w:bCs/>
          <w:color w:val="1F3864"/>
          <w:sz w:val="22"/>
          <w:szCs w:val="22"/>
        </w:rPr>
        <w:t xml:space="preserve">contradice</w:t>
      </w:r>
      <w:r>
        <w:rPr>
          <w:color w:val="444444"/>
          <w:sz w:val="22"/>
          <w:szCs w:val="22"/>
        </w:rPr>
        <w:t xml:space="preserve"> mostrar ese promedio como único indicador del ticket: al estar inflado por 4 ventas extremas legítimas, comunicaría al gerente un valor que casi ningún cliente alcanza. Los outliers, además, confirman que la cola alta de la distribución es real y merece su propia lectura (segmento mayorista).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Ajustes aplicados a KPIs y títulos del dashboard</w:t>
      </w:r>
    </w:p>
    <w:p>
      <w:pPr>
        <w:spacing w:after="120" w:line="276"/>
      </w:pPr>
      <w:r>
        <w:rPr>
          <w:color w:val="444444"/>
          <w:sz w:val="22"/>
          <w:szCs w:val="22"/>
        </w:rPr>
        <w:t xml:space="preserve">A partir de la validación de la Parte 2, se ajusta el boceto del dashboard de RetailPro de la siguiente manera:</w:t>
      </w:r>
    </w:p>
    <w:tbl>
      <w:tblPr>
        <w:tblW w:type="dxa" w:w="6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900"/>
        <w:gridCol w:w="2050"/>
        <w:gridCol w:w="205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type="dxa" w:w="20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Antes</w:t>
            </w:r>
          </w:p>
        </w:tc>
        <w:tc>
          <w:tcPr>
            <w:tcW w:type="dxa" w:w="20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Después (ajustado)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KPI de ticket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Solo “Ticket Promedio” = 528 USD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Se agrega “Ticket Mediano” = 370 USD junto al promedio</w:t>
            </w:r>
          </w:p>
        </w:tc>
      </w:tr>
      <w:tr>
        <w:tc>
          <w:tcPr>
            <w:tcW w:type="dxa" w:w="19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Título narrativo</w:t>
            </w:r>
          </w:p>
        </w:tc>
        <w:tc>
          <w:tcPr>
            <w:tcW w:type="dxa" w:w="205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“Ticket promedio de ventas”</w:t>
            </w:r>
          </w:p>
        </w:tc>
        <w:tc>
          <w:tcPr>
            <w:tcW w:type="dxa" w:w="205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“Venta típica ≈ 370 USD (mediana); el promedio 528 USD sube por ventas mayoristas”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Nota aclaratoria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(ninguna)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Tooltip/nota: 4 ventas de alto valor (B2B) elevan el promedio</w:t>
            </w:r>
          </w:p>
        </w:tc>
      </w:tr>
      <w:tr>
        <w:tc>
          <w:tcPr>
            <w:tcW w:type="dxa" w:w="19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444444"/>
                <w:sz w:val="21"/>
                <w:szCs w:val="21"/>
              </w:rPr>
              <w:t xml:space="preserve">Segmentación</w:t>
            </w:r>
          </w:p>
        </w:tc>
        <w:tc>
          <w:tcPr>
            <w:tcW w:type="dxa" w:w="205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(no prevista)</w:t>
            </w:r>
          </w:p>
        </w:tc>
        <w:tc>
          <w:tcPr>
            <w:tcW w:type="dxa" w:w="205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21"/>
                <w:szCs w:val="21"/>
              </w:rPr>
              <w:t xml:space="preserve">Marcar las 4 ventas &gt; 1.580 USD como segmento “Mayorista/B2B”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  <w:color w:val="1F3864"/>
          <w:sz w:val="22"/>
          <w:szCs w:val="22"/>
        </w:rPr>
        <w:t xml:space="preserve">Justificación. </w:t>
      </w:r>
      <w:r>
        <w:rPr>
          <w:color w:val="444444"/>
          <w:sz w:val="22"/>
          <w:szCs w:val="22"/>
        </w:rPr>
        <w:t xml:space="preserve">Mostrar media y mediana juntas evita que un promedio inflado por outliers lleve al gerente a conclusiones erróneas sobre el comportamiento del cliente habitual. El título narrativo pasa de describir un cálculo a comunicar el </w:t>
      </w:r>
      <w:r>
        <w:rPr>
          <w:b/>
          <w:bCs/>
          <w:color w:val="444444"/>
          <w:sz w:val="22"/>
          <w:szCs w:val="22"/>
        </w:rPr>
        <w:t xml:space="preserve">hallazgo real</w:t>
      </w:r>
      <w:r>
        <w:rPr>
          <w:color w:val="444444"/>
          <w:sz w:val="22"/>
          <w:szCs w:val="22"/>
        </w:rPr>
        <w:t xml:space="preserve">: la venta típica ronda los 370 USD, y el promedio más alto se explica por un segmento minoritario pero legítimo de ventas por volumen. Con esto, los KPIs del dashboard quedan estadísticamente respaldados.</w:t>
      </w:r>
    </w:p>
    <w:p>
      <w:pPr>
        <w:pBdr>
          <w:bottom w:val="single" w:color="DCE6F1" w:sz="6"/>
        </w:pBdr>
        <w:spacing w:after="160" w:before="60"/>
      </w:pPr>
      <w:r>
        <w:t xml:space="preserve"/>
      </w:r>
    </w:p>
    <w:p>
      <w:pPr>
        <w:spacing w:after="120" w:line="276"/>
      </w:pPr>
      <w:r>
        <w:rPr>
          <w:b/>
          <w:bCs/>
          <w:color w:val="1F3864"/>
          <w:sz w:val="20"/>
          <w:szCs w:val="20"/>
        </w:rPr>
        <w:t xml:space="preserve">Nota metodológica. </w:t>
      </w:r>
      <w:r>
        <w:rPr>
          <w:color w:val="444444"/>
          <w:sz w:val="20"/>
          <w:szCs w:val="20"/>
        </w:rPr>
        <w:t xml:space="preserve">Todos los valores de la Parte 2 se obtuvieron directamente de la tabla real del proyecto (Fact_Ventas, 50 filas), replicando las consultas SQL del paso guiado (AVG, PERCENTILE_CONT 0.25/0.5/0.75 y el criterio IQR de 1,5×). La media muestral de la Parte 1 se calculó con STDDEV_SAMP (n − 1).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Validación estadística del proyecto — RetailPro</dc:title>
  <dc:creator>Murphy, Lleyton</dc:creator>
  <cp:lastModifiedBy>Un-named</cp:lastModifiedBy>
  <cp:revision>1</cp:revision>
  <dcterms:created xsi:type="dcterms:W3CDTF">2026-09-11T16:36:44.873Z</dcterms:created>
  <dcterms:modified xsi:type="dcterms:W3CDTF">2026-09-11T16:36:44.873Z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