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BI report build specification</w:t>
      </w:r>
    </w:p>
    <w:p>
      <w:r>
        <w:t>Status: DAX source and report specification supplied; no native PBIX is included or validated in Power BI Desktop. The browser dashboard is a separate completed HTML visualization.</w:t>
      </w:r>
    </w:p>
    <w:p>
      <w:pPr>
        <w:pStyle w:val="ListNumber"/>
      </w:pPr>
      <w:r>
        <w:t xml:space="preserve">Import </w:t>
      </w:r>
      <w:r>
        <w:rPr>
          <w:rFonts w:ascii="Consolas" w:hAnsi="Consolas"/>
          <w:sz w:val="18"/>
        </w:rPr>
        <w:t>data/orders.csv</w:t>
      </w:r>
      <w:r>
        <w:t xml:space="preserve">; name the table </w:t>
      </w:r>
      <w:r>
        <w:rPr>
          <w:rFonts w:ascii="Consolas" w:hAnsi="Consolas"/>
          <w:sz w:val="18"/>
        </w:rPr>
        <w:t>orders</w:t>
      </w:r>
      <w:r>
        <w:t xml:space="preserve"> exactly.</w:t>
      </w:r>
    </w:p>
    <w:p>
      <w:pPr>
        <w:pStyle w:val="ListNumber"/>
      </w:pPr>
      <w:r>
        <w:t>Set order_date to Date. Set numeric amounts to Fixed Decimal Number, quantity to Whole Number where present, and IDs/categories to Text. Discounts are fractions (0.10 means 10%).</w:t>
      </w:r>
    </w:p>
    <w:p>
      <w:pPr>
        <w:pStyle w:val="ListNumber"/>
      </w:pPr>
      <w:r>
        <w:t xml:space="preserve">Add each measure in </w:t>
      </w:r>
      <w:r>
        <w:rPr>
          <w:rFonts w:ascii="Consolas" w:hAnsi="Consolas"/>
          <w:sz w:val="18"/>
        </w:rPr>
        <w:t>measures.dax</w:t>
      </w:r>
      <w:r>
        <w:t xml:space="preserve"> individually. Format amounts as USD with two decimals, rates as percentages and counts as whole numbers.</w:t>
      </w:r>
    </w:p>
    <w:p>
      <w:pPr>
        <w:pStyle w:val="ListNumber"/>
      </w:pPr>
      <w:r>
        <w:t xml:space="preserve">Use a 16:9 canvas with the supplied </w:t>
      </w:r>
      <w:r>
        <w:rPr>
          <w:rFonts w:ascii="Consolas" w:hAnsi="Consolas"/>
          <w:sz w:val="18"/>
        </w:rPr>
        <w:t>theme.json</w:t>
      </w:r>
      <w:r>
        <w:t xml:space="preserve"> palette (import it from the report theme menu). Put four KPI cards across the top and monthly performance beneath. Add the detailed comparison chart and a table beneath the time series.</w:t>
      </w:r>
    </w:p>
    <w:p>
      <w:pPr>
        <w:pStyle w:val="ListNumber"/>
      </w:pPr>
      <w:r>
        <w:t>Add month and category and region slicers. Sort the time axis by the actual date, ascending.</w:t>
      </w:r>
    </w:p>
    <w:p>
      <w:pPr>
        <w:pStyle w:val="ListNumber"/>
      </w:pPr>
      <w:r>
        <w:t xml:space="preserve">Save the report in this folder as </w:t>
      </w:r>
      <w:r>
        <w:rPr>
          <w:rFonts w:ascii="Consolas" w:hAnsi="Consolas"/>
          <w:sz w:val="18"/>
        </w:rPr>
        <w:t>ecommerce_report.pbix</w:t>
      </w:r>
      <w:r>
        <w:t xml:space="preserve"> and export a dashboard screenshot to </w:t>
      </w:r>
      <w:r>
        <w:rPr>
          <w:rFonts w:ascii="Consolas" w:hAnsi="Consolas"/>
          <w:sz w:val="18"/>
        </w:rPr>
        <w:t>reports/</w:t>
      </w:r>
      <w:r>
        <w:t xml:space="preserve"> for GitHub.</w:t>
      </w:r>
    </w:p>
    <w:p>
      <w:pPr>
        <w:pStyle w:val="Heading1"/>
      </w:pPr>
      <w:r>
        <w:t>Visual field mapping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5040"/>
      </w:tblGrid>
      <w:tr>
        <w:trPr>
          <w:tblHeader/>
        </w:trPr>
        <w:tc>
          <w:tcPr>
            <w:tcW w:type="dxa" w:w="2160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2880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Axis / rows</w:t>
            </w:r>
          </w:p>
        </w:tc>
        <w:tc>
          <w:tcPr>
            <w:tcW w:type="dxa" w:w="5040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Cards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Net Sales, Completed Orders, Average Order Value, Repeat Customer Rate</w:t>
            </w:r>
          </w:p>
        </w:tc>
      </w:tr>
      <w:t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Column chart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order_date grouped by month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Net Sales</w:t>
            </w:r>
          </w:p>
        </w:tc>
      </w:tr>
      <w:tr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Category bars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category</w:t>
            </w:r>
          </w:p>
        </w:tc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Net Sales</w:t>
            </w:r>
          </w:p>
        </w:tc>
      </w:tr>
      <w:t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Region bars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region</w:t>
            </w:r>
          </w:p>
        </w:tc>
        <w:tc>
          <w:tcPr>
            <w:tcW w:type="dxa" w:w="50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Net Sales</w:t>
            </w:r>
          </w:p>
        </w:tc>
      </w:tr>
      <w:tr>
        <w:tc>
          <w:tcPr>
            <w:tcW w:type="dxa" w:w="216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Customer table</w:t>
            </w:r>
          </w:p>
        </w:tc>
        <w:tc>
          <w:tcPr>
            <w:tcW w:type="dxa" w:w="288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customer_id</w:t>
            </w:r>
          </w:p>
        </w:tc>
        <w:tc>
          <w:tcPr>
            <w:tcW w:type="dxa" w:w="5040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color w:val="000000"/>
                <w:sz w:val="18"/>
              </w:rPr>
              <w:t>Completed Orders, Net Sales</w:t>
            </w:r>
          </w:p>
        </w:tc>
      </w:tr>
    </w:tbl>
    <w:p/>
    <w:p>
      <w:r>
        <w:t>Expected unfiltered: sales 457,680.39; completed orders 1,385; AOV 330.46. Repeat-customer rate counts customers with at least two completed orders divided by customers with at least one, inside the current filters. This is not lifetime retention. Do not add a status slicer because sales measures intentionally enforce Completed.</w:t>
      </w:r>
    </w:p>
    <w:p>
      <w:pPr>
        <w:pStyle w:val="Heading1"/>
      </w:pPr>
      <w:r>
        <w:t>Acceptance checks</w:t>
      </w:r>
    </w:p>
    <w:p>
      <w:r>
        <w:t xml:space="preserve">Compare unfiltered cards against the values above. Select one month and verify the totals against </w:t>
      </w:r>
      <w:r>
        <w:rPr>
          <w:rFonts w:ascii="Consolas" w:hAnsi="Consolas"/>
          <w:sz w:val="18"/>
        </w:rPr>
        <w:t>reports/query_results/query_01.csv</w:t>
      </w:r>
      <w:r>
        <w:t>. Clear all filters and confirm the annual totals return. Test one dimension selection and empty selections; ratio measures use DIVIDE to avoid division by zero. Desktop validation remains outstanding.</w:t>
      </w:r>
    </w:p>
    <w:p>
      <w:pPr>
        <w:pStyle w:val="Heading1"/>
        <w:pageBreakBefore/>
      </w:pPr>
      <w:r>
        <w:t>Reference inspired design</w:t>
      </w:r>
    </w:p>
    <w:p>
      <w:r>
        <w:t>Use an indigo header, white rounded panels and four KPI cards across the top, inspired by the uploaded YouTube dashboard. Place sales and order-count trends side by side, category and region bars below, then a status donut and metric interpretation panel. Use pale indigo borders, turquoise secondary series and soft shadows.</w:t>
      </w:r>
    </w:p>
    <w:p>
      <w:r>
        <w:t xml:space="preserve">The HTML dashboard supports quarter and dimension filters with recalculated KPIs. Its data is embedded for offline use. No native Power BI file is included. Import </w:t>
      </w:r>
      <w:r>
        <w:rPr>
          <w:rFonts w:ascii="Consolas" w:hAnsi="Consolas"/>
          <w:sz w:val="18"/>
        </w:rPr>
        <w:t>theme.json</w:t>
      </w:r>
      <w:r>
        <w:t xml:space="preserve"> and follow this specification to reproduce the styling in Desktop.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