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 the dashboard</w:t>
      </w:r>
    </w:p>
    <w:p>
      <w:r>
        <w:t xml:space="preserve">Open </w:t>
      </w:r>
      <w:r>
        <w:rPr>
          <w:rFonts w:ascii="Consolas" w:hAnsi="Consolas"/>
          <w:sz w:val="18"/>
        </w:rPr>
        <w:t>index.html</w:t>
      </w:r>
      <w:r>
        <w:t xml:space="preserve"> in a modern browser. No installation, server or internet connection is required. Quarter and dimension filters recalculate every chart and KPI; Reset filters restores the annual view. Hover over a line-chart point for its exact value.</w:t>
      </w:r>
    </w:p>
    <w:p>
      <w:r>
        <w:t xml:space="preserve">The dashboard embeds the supplied CSV data. If you change the CSV, run </w:t>
      </w:r>
      <w:r>
        <w:rPr>
          <w:rFonts w:ascii="Consolas" w:hAnsi="Consolas"/>
          <w:sz w:val="18"/>
        </w:rPr>
        <w:t>python python/refresh_dashboard.py</w:t>
      </w:r>
      <w:r>
        <w:t xml:space="preserve"> from the project root. The dashboard is HTML, not a Power BI export.</w:t>
      </w:r>
    </w:p>
    <w:p>
      <w:r>
        <w:t>The finance design follows the uploaded Excel dashboard layout; e-commerce follows the uploaded YouTube dashboard layout. All values come from these projects, not from the reference images.</w:t>
      </w:r>
    </w:p>
    <w:p>
      <w:r>
        <w:t>For a single desktop screenshot, use a browser content area of 1440 by 900 pixels or larger at 100 percent zoom. The dashboard uses a compact one-screen layout on desktop and a scrolling layout on smaller screens.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