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BI report build specification</w:t>
      </w:r>
    </w:p>
    <w:p>
      <w:r>
        <w:t>Status: DAX source and report specification supplied; no native PBIX is included or validated in Power BI Desktop. The browser dashboard is a separate completed HTML visualization.</w:t>
      </w:r>
    </w:p>
    <w:p>
      <w:pPr>
        <w:pStyle w:val="ListNumber"/>
      </w:pPr>
      <w:r>
        <w:t xml:space="preserve">Import </w:t>
      </w:r>
      <w:r>
        <w:rPr>
          <w:rFonts w:ascii="Consolas" w:hAnsi="Consolas"/>
          <w:sz w:val="18"/>
        </w:rPr>
        <w:t>data/financial_transactions.csv</w:t>
      </w:r>
      <w:r>
        <w:t xml:space="preserve">; name the table </w:t>
      </w:r>
      <w:r>
        <w:rPr>
          <w:rFonts w:ascii="Consolas" w:hAnsi="Consolas"/>
          <w:sz w:val="18"/>
        </w:rPr>
        <w:t>financial_transactions</w:t>
      </w:r>
      <w:r>
        <w:t xml:space="preserve"> exactly.</w:t>
      </w:r>
    </w:p>
    <w:p>
      <w:pPr>
        <w:pStyle w:val="ListNumber"/>
      </w:pPr>
      <w:r>
        <w:t>Set month to Date. Set numeric amounts to Fixed Decimal Number, quantity to Whole Number where present, and IDs/categories to Text. Discounts are fractions (0.10 means 10%).</w:t>
      </w:r>
    </w:p>
    <w:p>
      <w:pPr>
        <w:pStyle w:val="ListNumber"/>
      </w:pPr>
      <w:r>
        <w:t xml:space="preserve">Add each measure in </w:t>
      </w:r>
      <w:r>
        <w:rPr>
          <w:rFonts w:ascii="Consolas" w:hAnsi="Consolas"/>
          <w:sz w:val="18"/>
        </w:rPr>
        <w:t>measures.dax</w:t>
      </w:r>
      <w:r>
        <w:t xml:space="preserve"> individually. Format amounts as USD with two decimals, rates as percentages and counts as whole numbers.</w:t>
      </w:r>
    </w:p>
    <w:p>
      <w:pPr>
        <w:pStyle w:val="ListNumber"/>
      </w:pPr>
      <w:r>
        <w:t xml:space="preserve">Use a 16:9 canvas with the supplied </w:t>
      </w:r>
      <w:r>
        <w:rPr>
          <w:rFonts w:ascii="Consolas" w:hAnsi="Consolas"/>
          <w:sz w:val="18"/>
        </w:rPr>
        <w:t>theme.json</w:t>
      </w:r>
      <w:r>
        <w:t xml:space="preserve"> palette (import it from the report theme menu). Put four KPI cards across the top and monthly performance beneath. Add the detailed comparison chart and a table beneath the time series.</w:t>
      </w:r>
    </w:p>
    <w:p>
      <w:pPr>
        <w:pStyle w:val="ListNumber"/>
      </w:pPr>
      <w:r>
        <w:t>Add month and department slicers. Sort the time axis by the actual date, ascending.</w:t>
      </w:r>
    </w:p>
    <w:p>
      <w:pPr>
        <w:pStyle w:val="ListNumber"/>
      </w:pPr>
      <w:r>
        <w:t xml:space="preserve">Save the report in this folder as </w:t>
      </w:r>
      <w:r>
        <w:rPr>
          <w:rFonts w:ascii="Consolas" w:hAnsi="Consolas"/>
          <w:sz w:val="18"/>
        </w:rPr>
        <w:t>finance_report.pbix</w:t>
      </w:r>
      <w:r>
        <w:t xml:space="preserve"> and export a dashboard screenshot to </w:t>
      </w:r>
      <w:r>
        <w:rPr>
          <w:rFonts w:ascii="Consolas" w:hAnsi="Consolas"/>
          <w:sz w:val="18"/>
        </w:rPr>
        <w:t>reports/</w:t>
      </w:r>
      <w:r>
        <w:t xml:space="preserve"> for GitHub.</w:t>
      </w:r>
    </w:p>
    <w:p>
      <w:pPr>
        <w:pStyle w:val="Heading1"/>
      </w:pPr>
      <w:r>
        <w:t>Visual field mapping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880"/>
        <w:gridCol w:w="5040"/>
      </w:tblGrid>
      <w:tr>
        <w:trPr>
          <w:tblHeader/>
        </w:trPr>
        <w:tc>
          <w:tcPr>
            <w:tcW w:type="dxa" w:w="2160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2880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18"/>
              </w:rPr>
              <w:t>Axis / rows</w:t>
            </w:r>
          </w:p>
        </w:tc>
        <w:tc>
          <w:tcPr>
            <w:tcW w:type="dxa" w:w="5040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18"/>
              </w:rPr>
              <w:t>Values</w:t>
            </w:r>
          </w:p>
        </w:tc>
      </w:tr>
      <w:tr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Cards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50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Revenue, Expenses, Operating Profit, Profit Margin</w:t>
            </w:r>
          </w:p>
        </w:tc>
      </w:tr>
      <w:t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Line chart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month</w:t>
            </w:r>
          </w:p>
        </w:tc>
        <w:tc>
          <w:tcPr>
            <w:tcW w:type="dxa" w:w="50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Revenue, Expenses, Operating Profit</w:t>
            </w:r>
          </w:p>
        </w:tc>
      </w:tr>
      <w:tr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Department bars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department</w:t>
            </w:r>
          </w:p>
        </w:tc>
        <w:tc>
          <w:tcPr>
            <w:tcW w:type="dxa" w:w="50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Operating Profit</w:t>
            </w:r>
          </w:p>
        </w:tc>
      </w:tr>
      <w:t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Budget matrix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month</w:t>
            </w:r>
          </w:p>
        </w:tc>
        <w:tc>
          <w:tcPr>
            <w:tcW w:type="dxa" w:w="50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Revenue Budget, Revenue, Revenue Variance, Expense Variance Favorable</w:t>
            </w:r>
          </w:p>
        </w:tc>
      </w:tr>
      <w:tr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Expense bars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expense_category</w:t>
            </w:r>
          </w:p>
        </w:tc>
        <w:tc>
          <w:tcPr>
            <w:tcW w:type="dxa" w:w="50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Expenses</w:t>
            </w:r>
          </w:p>
        </w:tc>
      </w:tr>
    </w:tbl>
    <w:p/>
    <w:p>
      <w:r>
        <w:t>Disable expense-category chart interactions with all revenue, budget and margin visuals: revenue is allocated to one category row for storage only. Do not add an expense-category page slicer.</w:t>
      </w:r>
    </w:p>
    <w:p>
      <w:r>
        <w:t>Expected unfiltered: revenue 5,001,393.53; expenses 2,700,356.33; profit 2,301,037.20. Positive revenue variance means above plan; positive expense variance means below cost budget.</w:t>
      </w:r>
    </w:p>
    <w:p>
      <w:pPr>
        <w:pStyle w:val="Heading1"/>
      </w:pPr>
      <w:r>
        <w:t>Acceptance checks</w:t>
      </w:r>
    </w:p>
    <w:p>
      <w:r>
        <w:t xml:space="preserve">Compare unfiltered cards against the values above. Select one month and verify the totals against </w:t>
      </w:r>
      <w:r>
        <w:rPr>
          <w:rFonts w:ascii="Consolas" w:hAnsi="Consolas"/>
          <w:sz w:val="18"/>
        </w:rPr>
        <w:t>reports/query_results/query_01.csv</w:t>
      </w:r>
      <w:r>
        <w:t>. Clear all filters and confirm the annual totals return. Test one dimension selection and empty selections; ratio measures use DIVIDE to avoid division by zero. Desktop validation remains outstanding.</w:t>
      </w:r>
    </w:p>
    <w:p>
      <w:pPr>
        <w:pStyle w:val="Heading1"/>
        <w:pageBreakBefore/>
      </w:pPr>
      <w:r>
        <w:t>Reference inspired design</w:t>
      </w:r>
    </w:p>
    <w:p>
      <w:r>
        <w:t>Use a light blue-gray canvas, navy headings, teal data accents and a left KPI sidebar, inspired by the uploaded Excel dashboard. Place period filters across the top, a full-width revenue/cost trend, then department profit, expense mix, profit trend and budget matrix in a two-column grid. Use softly rounded white cards with subtle cool-gray borders.</w:t>
      </w:r>
    </w:p>
    <w:p>
      <w:r>
        <w:t xml:space="preserve">The HTML dashboard supports quarter and dimension filters with recalculated KPIs. Its data is embedded for offline use. No native Power BI file is included. Import </w:t>
      </w:r>
      <w:r>
        <w:rPr>
          <w:rFonts w:ascii="Consolas" w:hAnsi="Consolas"/>
          <w:sz w:val="18"/>
        </w:rPr>
        <w:t>theme.json</w:t>
      </w:r>
      <w:r>
        <w:t xml:space="preserve"> and follow this specification to reproduce the styling in Desktop.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