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Healthcare Appointment Operations</w:t>
      </w:r>
    </w:p>
    <w:p>
      <w:r>
        <w:t>Project handbook | Synthetic 2025 case study | Entry to intermediate level</w:t>
      </w:r>
    </w:p>
    <w:p>
      <w:r>
        <w:t>Where do appointments fail to convert into attended visits, and which departments have longer queues? This handbook explains the findings, dataset, metric logic, reproducible workflow and Power BI build process.</w:t>
      </w:r>
    </w:p>
    <w:p>
      <w:pPr>
        <w:pStyle w:val="Heading1"/>
      </w:pPr>
      <w:r>
        <w:t>Findings</w:t>
      </w:r>
    </w:p>
    <w:p>
      <w:pPr>
        <w:pStyle w:val="ListBullet"/>
      </w:pPr>
      <w:r>
        <w:t>Of 3,600 bookings, 2,765 were attended, 485 were no-shows and 350 were cancelled. The no-show rate is 14.9% of 3,250 eligible appointments; its share of all bookings is 13.5%. These figures have different denominators.</w:t>
      </w:r>
    </w:p>
    <w:p>
      <w:pPr>
        <w:pStyle w:val="ListBullet"/>
      </w:pPr>
      <w:r>
        <w:t>Average attended-visit waiting time is 30.4 minutes. Only 49.9% of attended visits meet the analyst-set 30-minute planning target.</w:t>
      </w:r>
    </w:p>
    <w:p>
      <w:pPr>
        <w:pStyle w:val="ListBullet"/>
      </w:pPr>
      <w:r>
        <w:t>Cardiology has the longest average wait at 39.3 minutes; Dermatology averages 20.8 minutes. Review demand, staffing and arrival patterns before proposing changes.</w:t>
      </w:r>
    </w:p>
    <w:p>
      <w:pPr>
        <w:pStyle w:val="ListBullet"/>
      </w:pPr>
      <w:r>
        <w:t>Appointments booked 22 or more days ahead have a 17.9% no-show rate, versus 10.6% for 0–7 days and 10.0% for 8–21 days. The pattern is not strictly monotonic.</w:t>
      </w:r>
    </w:p>
    <w:p>
      <w:pPr>
        <w:pStyle w:val="ListBullet"/>
      </w:pPr>
      <w:r>
        <w:t>Reminder-associated no-show rates are 13.8% with reminders and 17.6% without. This descriptive difference reflects simulation assumptions; it is not a measured treatment effect.</w:t>
      </w:r>
    </w:p>
    <w:p>
      <w:pPr>
        <w:pStyle w:val="Heading1"/>
      </w:pPr>
      <w:r>
        <w:t>Recommended next steps</w:t>
      </w:r>
    </w:p>
    <w:p>
      <w:pPr>
        <w:ind w:left="288" w:hanging="288"/>
      </w:pPr>
      <w:r>
        <w:t>1. Investigate Cardiology and Orthopedics queue patterns by clinic and day, using a real operational dataset before changing staffing.</w:t>
      </w:r>
    </w:p>
    <w:p>
      <w:pPr>
        <w:ind w:left="288" w:hanging="288"/>
      </w:pPr>
      <w:r>
        <w:t>2. Design a reminder pilot for longer-lead bookings and evaluate attendance with an appropriate comparison group; do not claim savings from this synthetic analysis.</w:t>
      </w:r>
    </w:p>
    <w:p>
      <w:pPr>
        <w:ind w:left="288" w:hanging="288"/>
      </w:pPr>
      <w:r>
        <w:t>3. Monitor the same definitions monthly, reporting booking outcomes separately from the attended-only waiting-time measures.</w:t>
      </w:r>
    </w:p>
    <w:p>
      <w:pPr>
        <w:pStyle w:val="Heading1"/>
      </w:pPr>
      <w:r>
        <w:t>Scope and limitations</w:t>
      </w:r>
    </w:p>
    <w:p>
      <w:r>
        <w:t>All records are generated for education. Apparent relationships partly reflect explicit generator assumptions and are not evidence about a real organization. The projects are descriptive, with no prediction model or causal inference. There are no diagnoses, patient demographics, costs or clinical outcomes. Wait time is an operational measure. The planning target is not a clinical standard.</w:t>
      </w:r>
    </w:p>
    <w:p>
      <w:r>
        <w:br w:type="page"/>
      </w:r>
    </w:p>
    <w:p>
      <w:pPr>
        <w:pStyle w:val="Heading1"/>
      </w:pPr>
      <w:r>
        <w:t>Data dictionary</w:t>
      </w:r>
    </w:p>
    <w:p>
      <w:r>
        <w:t>Source tables: appointments.csv (3,600 rows) and departments.csv (6 rows). One-to-many join on department_id.</w:t>
      </w:r>
    </w:p>
    <w:tbl>
      <w:tblPr>
        <w:tblW w:type="auto" w:w="0"/>
        <w:tblLayout w:type="fixed"/>
        <w:tblLook w:firstColumn="1" w:firstRow="1" w:lastColumn="0" w:lastRow="0" w:noHBand="0" w:noVBand="1" w:val="04A0"/>
      </w:tblPr>
      <w:tblGrid>
        <w:gridCol w:w="2376"/>
        <w:gridCol w:w="1512"/>
        <w:gridCol w:w="6336"/>
      </w:tblGrid>
      <w:tr>
        <w:trPr>
          <w:tblHeader/>
        </w:trPr>
        <w:tc>
          <w:tcPr>
            <w:tcW w:type="dxa" w:w="2376"/>
            <w:shd w:fill="17364E"/>
            <w:tcBorders>
              <w:top w:val="single" w:sz="4" w:color="D9D9D9"/>
              <w:left w:val="single" w:sz="4" w:color="D9D9D9"/>
              <w:bottom w:val="single" w:sz="4" w:color="D9D9D9"/>
              <w:right w:val="single" w:sz="4" w:color="D9D9D9"/>
            </w:tcBorders>
          </w:tcPr>
          <w:p>
            <w:pPr>
              <w:spacing w:after="100" w:before="100"/>
            </w:pPr>
            <w:r>
              <w:rPr>
                <w:b/>
                <w:color w:val="FFFFFF"/>
                <w:sz w:val="18"/>
              </w:rPr>
              <w:t>Field</w:t>
            </w:r>
          </w:p>
        </w:tc>
        <w:tc>
          <w:tcPr>
            <w:tcW w:type="dxa" w:w="1512"/>
            <w:shd w:fill="17364E"/>
            <w:tcBorders>
              <w:top w:val="single" w:sz="4" w:color="D9D9D9"/>
              <w:left w:val="single" w:sz="4" w:color="D9D9D9"/>
              <w:bottom w:val="single" w:sz="4" w:color="D9D9D9"/>
              <w:right w:val="single" w:sz="4" w:color="D9D9D9"/>
            </w:tcBorders>
          </w:tcPr>
          <w:p>
            <w:pPr>
              <w:spacing w:after="100" w:before="100"/>
            </w:pPr>
            <w:r>
              <w:rPr>
                <w:b/>
                <w:color w:val="FFFFFF"/>
                <w:sz w:val="18"/>
              </w:rPr>
              <w:t>Type</w:t>
            </w:r>
          </w:p>
        </w:tc>
        <w:tc>
          <w:tcPr>
            <w:tcW w:type="dxa" w:w="6336"/>
            <w:shd w:fill="17364E"/>
            <w:tcBorders>
              <w:top w:val="single" w:sz="4" w:color="D9D9D9"/>
              <w:left w:val="single" w:sz="4" w:color="D9D9D9"/>
              <w:bottom w:val="single" w:sz="4" w:color="D9D9D9"/>
              <w:right w:val="single" w:sz="4" w:color="D9D9D9"/>
            </w:tcBorders>
          </w:tcPr>
          <w:p>
            <w:pPr>
              <w:spacing w:after="100" w:before="100"/>
            </w:pPr>
            <w:r>
              <w:rPr>
                <w:b/>
                <w:color w:val="FFFFFF"/>
                <w:sz w:val="18"/>
              </w:rPr>
              <w:t>Definition</w:t>
            </w:r>
          </w:p>
        </w:tc>
      </w:tr>
      <w:tr>
        <w:tc>
          <w:tcPr>
            <w:tcW w:type="dxa" w:w="2376"/>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appointment_id</w:t>
            </w:r>
          </w:p>
        </w:tc>
        <w:tc>
          <w:tcPr>
            <w:tcW w:type="dxa" w:w="1512"/>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Text</w:t>
            </w:r>
          </w:p>
        </w:tc>
        <w:tc>
          <w:tcPr>
            <w:tcW w:type="dxa" w:w="6336"/>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Unique appointment identifier; one row per booking.</w:t>
            </w:r>
          </w:p>
        </w:tc>
      </w:tr>
      <w:tr>
        <w:tc>
          <w:tcPr>
            <w:tcW w:type="dxa" w:w="2376"/>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patient_id</w:t>
            </w:r>
          </w:p>
        </w:tc>
        <w:tc>
          <w:tcPr>
            <w:tcW w:type="dxa" w:w="1512"/>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Text</w:t>
            </w:r>
          </w:p>
        </w:tc>
        <w:tc>
          <w:tcPr>
            <w:tcW w:type="dxa" w:w="6336"/>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Synthetic repeatable patient identifier; no name or personal details.</w:t>
            </w:r>
          </w:p>
        </w:tc>
      </w:tr>
      <w:tr>
        <w:tc>
          <w:tcPr>
            <w:tcW w:type="dxa" w:w="2376"/>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appointment_date</w:t>
            </w:r>
          </w:p>
        </w:tc>
        <w:tc>
          <w:tcPr>
            <w:tcW w:type="dxa" w:w="1512"/>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Date</w:t>
            </w:r>
          </w:p>
        </w:tc>
        <w:tc>
          <w:tcPr>
            <w:tcW w:type="dxa" w:w="6336"/>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Scheduled visit date; every appointment falls in 2025.</w:t>
            </w:r>
          </w:p>
        </w:tc>
      </w:tr>
      <w:tr>
        <w:tc>
          <w:tcPr>
            <w:tcW w:type="dxa" w:w="2376"/>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booking_date</w:t>
            </w:r>
          </w:p>
        </w:tc>
        <w:tc>
          <w:tcPr>
            <w:tcW w:type="dxa" w:w="1512"/>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Date</w:t>
            </w:r>
          </w:p>
        </w:tc>
        <w:tc>
          <w:tcPr>
            <w:tcW w:type="dxa" w:w="6336"/>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Date booking was made; may fall in 2024 for early-2025 visits.</w:t>
            </w:r>
          </w:p>
        </w:tc>
      </w:tr>
      <w:tr>
        <w:tc>
          <w:tcPr>
            <w:tcW w:type="dxa" w:w="2376"/>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department_id</w:t>
            </w:r>
          </w:p>
        </w:tc>
        <w:tc>
          <w:tcPr>
            <w:tcW w:type="dxa" w:w="1512"/>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Text</w:t>
            </w:r>
          </w:p>
        </w:tc>
        <w:tc>
          <w:tcPr>
            <w:tcW w:type="dxa" w:w="6336"/>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Foreign key to departments.csv.</w:t>
            </w:r>
          </w:p>
        </w:tc>
      </w:tr>
      <w:tr>
        <w:tc>
          <w:tcPr>
            <w:tcW w:type="dxa" w:w="2376"/>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clinic</w:t>
            </w:r>
          </w:p>
        </w:tc>
        <w:tc>
          <w:tcPr>
            <w:tcW w:type="dxa" w:w="1512"/>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Text</w:t>
            </w:r>
          </w:p>
        </w:tc>
        <w:tc>
          <w:tcPr>
            <w:tcW w:type="dxa" w:w="6336"/>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Central, North or South.</w:t>
            </w:r>
          </w:p>
        </w:tc>
      </w:tr>
      <w:tr>
        <w:tc>
          <w:tcPr>
            <w:tcW w:type="dxa" w:w="2376"/>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visit_type</w:t>
            </w:r>
          </w:p>
        </w:tc>
        <w:tc>
          <w:tcPr>
            <w:tcW w:type="dxa" w:w="1512"/>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Text</w:t>
            </w:r>
          </w:p>
        </w:tc>
        <w:tc>
          <w:tcPr>
            <w:tcW w:type="dxa" w:w="6336"/>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New or Follow-up.</w:t>
            </w:r>
          </w:p>
        </w:tc>
      </w:tr>
      <w:tr>
        <w:tc>
          <w:tcPr>
            <w:tcW w:type="dxa" w:w="2376"/>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status</w:t>
            </w:r>
          </w:p>
        </w:tc>
        <w:tc>
          <w:tcPr>
            <w:tcW w:type="dxa" w:w="1512"/>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Text</w:t>
            </w:r>
          </w:p>
        </w:tc>
        <w:tc>
          <w:tcPr>
            <w:tcW w:type="dxa" w:w="6336"/>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Attended, No-show or Cancelled; all outcomes are final.</w:t>
            </w:r>
          </w:p>
        </w:tc>
      </w:tr>
      <w:tr>
        <w:tc>
          <w:tcPr>
            <w:tcW w:type="dxa" w:w="2376"/>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reminder_sent</w:t>
            </w:r>
          </w:p>
        </w:tc>
        <w:tc>
          <w:tcPr>
            <w:tcW w:type="dxa" w:w="1512"/>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Integer</w:t>
            </w:r>
          </w:p>
        </w:tc>
        <w:tc>
          <w:tcPr>
            <w:tcW w:type="dxa" w:w="6336"/>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1 means reminder sent; 0 means no reminder recorded.</w:t>
            </w:r>
          </w:p>
        </w:tc>
      </w:tr>
      <w:tr>
        <w:tc>
          <w:tcPr>
            <w:tcW w:type="dxa" w:w="2376"/>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wait_minutes</w:t>
            </w:r>
          </w:p>
        </w:tc>
        <w:tc>
          <w:tcPr>
            <w:tcW w:type="dxa" w:w="1512"/>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Number</w:t>
            </w:r>
          </w:p>
        </w:tc>
        <w:tc>
          <w:tcPr>
            <w:tcW w:type="dxa" w:w="6336"/>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Arrival-to-service wait for attended visits only; blank otherwise.</w:t>
            </w:r>
          </w:p>
        </w:tc>
      </w:tr>
      <w:tr>
        <w:tc>
          <w:tcPr>
            <w:tcW w:type="dxa" w:w="2376"/>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service_minutes</w:t>
            </w:r>
          </w:p>
        </w:tc>
        <w:tc>
          <w:tcPr>
            <w:tcW w:type="dxa" w:w="1512"/>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Number</w:t>
            </w:r>
          </w:p>
        </w:tc>
        <w:tc>
          <w:tcPr>
            <w:tcW w:type="dxa" w:w="6336"/>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Illustrative service duration for attended visits; blank otherwise.</w:t>
            </w:r>
          </w:p>
        </w:tc>
      </w:tr>
      <w:tr>
        <w:tc>
          <w:tcPr>
            <w:tcW w:type="dxa" w:w="2376"/>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department</w:t>
            </w:r>
          </w:p>
        </w:tc>
        <w:tc>
          <w:tcPr>
            <w:tcW w:type="dxa" w:w="1512"/>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Text</w:t>
            </w:r>
          </w:p>
        </w:tc>
        <w:tc>
          <w:tcPr>
            <w:tcW w:type="dxa" w:w="6336"/>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Lookup label, six departments.</w:t>
            </w:r>
          </w:p>
        </w:tc>
      </w:tr>
      <w:tr>
        <w:tc>
          <w:tcPr>
            <w:tcW w:type="dxa" w:w="2376"/>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wait_target_minutes</w:t>
            </w:r>
          </w:p>
        </w:tc>
        <w:tc>
          <w:tcPr>
            <w:tcW w:type="dxa" w:w="1512"/>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Integer</w:t>
            </w:r>
          </w:p>
        </w:tc>
        <w:tc>
          <w:tcPr>
            <w:tcW w:type="dxa" w:w="6336"/>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30 minutes in every department; an illustrative planning assumption.</w:t>
            </w:r>
          </w:p>
        </w:tc>
      </w:tr>
    </w:tbl>
    <w:p/>
    <w:p>
      <w:pPr>
        <w:pStyle w:val="Heading1"/>
      </w:pPr>
      <w:r>
        <w:t>Provenance and generation</w:t>
      </w:r>
    </w:p>
    <w:p>
      <w:r>
        <w:t>Generator seed: 20251029. Bookings occur on weekdays. Lead times, reminders and department-specific waiting-time distributions are simulation assumptions. Wait and service durations are intentionally blank for non-attended outcomes.</w:t>
      </w:r>
    </w:p>
    <w:p>
      <w:r>
        <w:t>data/processed.csv is derived by the pipeline and joins lookup fields for dashboard use. Raw CSVs are preserved. No external sources or real personal records are used.</w:t>
      </w:r>
    </w:p>
    <w:p>
      <w:r>
        <w:br w:type="page"/>
      </w:r>
    </w:p>
    <w:p>
      <w:pPr>
        <w:pStyle w:val="Heading1"/>
      </w:pPr>
      <w:r>
        <w:t>Methodology and validation</w:t>
      </w:r>
    </w:p>
    <w:p>
      <w:r>
        <w:t>No-show rate = No-show / (Attended + No-show). Cancellations are excluded from this denominator but retained in total-booking counts. Average wait and target attainment use attended visits only; a zero wait is valid, while blank waits on other statuses are expected.</w:t>
      </w:r>
    </w:p>
    <w:p>
      <w:r>
        <w:t>Lead-time days = appointment date minus booking date. Bands are 0–7, 8–21 and 22+ days, with inclusive endpoints. Waiting-time target attainment means wait_minutes less than or equal to the department target.</w:t>
      </w:r>
    </w:p>
    <w:p>
      <w:pPr>
        <w:pStyle w:val="Heading1"/>
      </w:pPr>
      <w:r>
        <w:t>Run the project</w:t>
      </w:r>
    </w:p>
    <w:p>
      <w:pPr>
        <w:ind w:left="288" w:hanging="288"/>
      </w:pPr>
      <w:r>
        <w:t>1. From the repository root, install dependencies: python -m pip install -r requirements.txt</w:t>
      </w:r>
    </w:p>
    <w:p>
      <w:pPr>
        <w:ind w:left="288" w:hanging="288"/>
      </w:pPr>
      <w:r>
        <w:t>2. Run the complete pipeline: python python/run_all.py</w:t>
      </w:r>
    </w:p>
    <w:p>
      <w:pPr>
        <w:ind w:left="288" w:hanging="288"/>
      </w:pPr>
      <w:r>
        <w:t>3. Run boundary checks: python -m unittest discover -s tests -v</w:t>
      </w:r>
    </w:p>
    <w:p>
      <w:pPr>
        <w:ind w:left="288" w:hanging="288"/>
      </w:pPr>
      <w:r>
        <w:t>4. Open dashboard/index.html locally. It works without a server or internet connection.</w:t>
      </w:r>
    </w:p>
    <w:p>
      <w:pPr>
        <w:ind w:left="288" w:hanging="288"/>
      </w:pPr>
      <w:r>
        <w:t>5. Open python/analysis.ipynb with JupyterLab from the repository root or python directory. Executed outputs and charts are included. Install JupyterLab separately if needed.</w:t>
      </w:r>
    </w:p>
    <w:p>
      <w:pPr>
        <w:ind w:left="288" w:hanging="288"/>
      </w:pPr>
      <w:r>
        <w:t>6. To regenerate the same synthetic inputs, run python python/generate_data.py, then run the complete pipeline again. This overwrites the input CSVs with the deterministic fixture.</w:t>
      </w:r>
    </w:p>
    <w:p>
      <w:pPr>
        <w:pStyle w:val="Heading1"/>
      </w:pPr>
      <w:r>
        <w:t>SQL outputs</w:t>
      </w:r>
    </w:p>
    <w:tbl>
      <w:tblPr>
        <w:tblW w:type="auto" w:w="0"/>
        <w:tblLayout w:type="fixed"/>
        <w:tblLook w:firstColumn="1" w:firstRow="1" w:lastColumn="0" w:lastRow="0" w:noHBand="0" w:noVBand="1" w:val="04A0"/>
      </w:tblPr>
      <w:tblGrid>
        <w:gridCol w:w="1008"/>
        <w:gridCol w:w="9216"/>
      </w:tblGrid>
      <w:tr>
        <w:trPr>
          <w:tblHeader/>
        </w:trPr>
        <w:tc>
          <w:tcPr>
            <w:tcW w:type="dxa" w:w="1008"/>
            <w:shd w:fill="17364E"/>
            <w:tcBorders>
              <w:top w:val="single" w:sz="4" w:color="D9D9D9"/>
              <w:left w:val="single" w:sz="4" w:color="D9D9D9"/>
              <w:bottom w:val="single" w:sz="4" w:color="D9D9D9"/>
              <w:right w:val="single" w:sz="4" w:color="D9D9D9"/>
            </w:tcBorders>
          </w:tcPr>
          <w:p>
            <w:pPr>
              <w:spacing w:after="100" w:before="100"/>
            </w:pPr>
            <w:r>
              <w:rPr>
                <w:b/>
                <w:color w:val="FFFFFF"/>
                <w:sz w:val="18"/>
              </w:rPr>
              <w:t>Query</w:t>
            </w:r>
          </w:p>
        </w:tc>
        <w:tc>
          <w:tcPr>
            <w:tcW w:type="dxa" w:w="9216"/>
            <w:shd w:fill="17364E"/>
            <w:tcBorders>
              <w:top w:val="single" w:sz="4" w:color="D9D9D9"/>
              <w:left w:val="single" w:sz="4" w:color="D9D9D9"/>
              <w:bottom w:val="single" w:sz="4" w:color="D9D9D9"/>
              <w:right w:val="single" w:sz="4" w:color="D9D9D9"/>
            </w:tcBorders>
          </w:tcPr>
          <w:p>
            <w:pPr>
              <w:spacing w:after="100" w:before="100"/>
            </w:pPr>
            <w:r>
              <w:rPr>
                <w:b/>
                <w:color w:val="FFFFFF"/>
                <w:sz w:val="18"/>
              </w:rPr>
              <w:t>Saved analysis</w:t>
            </w:r>
          </w:p>
        </w:tc>
      </w:tr>
      <w:tr>
        <w:tc>
          <w:tcPr>
            <w:tcW w:type="dxa" w:w="1008"/>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01</w:t>
            </w:r>
          </w:p>
        </w:tc>
        <w:tc>
          <w:tcPr>
            <w:tcW w:type="dxa" w:w="9216"/>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Annual appointment counts and rates</w:t>
            </w:r>
          </w:p>
        </w:tc>
      </w:tr>
      <w:tr>
        <w:tc>
          <w:tcPr>
            <w:tcW w:type="dxa" w:w="10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02</w:t>
            </w:r>
          </w:p>
        </w:tc>
        <w:tc>
          <w:tcPr>
            <w:tcW w:type="dxa" w:w="9216"/>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Monthly booking outcomes and waiting times</w:t>
            </w:r>
          </w:p>
        </w:tc>
      </w:tr>
      <w:tr>
        <w:tc>
          <w:tcPr>
            <w:tcW w:type="dxa" w:w="1008"/>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03</w:t>
            </w:r>
          </w:p>
        </w:tc>
        <w:tc>
          <w:tcPr>
            <w:tcW w:type="dxa" w:w="9216"/>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Department join and target attainment</w:t>
            </w:r>
          </w:p>
        </w:tc>
      </w:tr>
      <w:tr>
        <w:tc>
          <w:tcPr>
            <w:tcW w:type="dxa" w:w="10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04</w:t>
            </w:r>
          </w:p>
        </w:tc>
        <w:tc>
          <w:tcPr>
            <w:tcW w:type="dxa" w:w="9216"/>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Booking lead-time bands using CTEs</w:t>
            </w:r>
          </w:p>
        </w:tc>
      </w:tr>
      <w:tr>
        <w:tc>
          <w:tcPr>
            <w:tcW w:type="dxa" w:w="1008"/>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05</w:t>
            </w:r>
          </w:p>
        </w:tc>
        <w:tc>
          <w:tcPr>
            <w:tcW w:type="dxa" w:w="9216"/>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Reminder association by group</w:t>
            </w:r>
          </w:p>
        </w:tc>
      </w:tr>
      <w:tr>
        <w:tc>
          <w:tcPr>
            <w:tcW w:type="dxa" w:w="1008"/>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06</w:t>
            </w:r>
          </w:p>
        </w:tc>
        <w:tc>
          <w:tcPr>
            <w:tcW w:type="dxa" w:w="9216"/>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Month-over-month bookings with LAG</w:t>
            </w:r>
          </w:p>
        </w:tc>
      </w:tr>
    </w:tbl>
    <w:p/>
    <w:p>
      <w:r>
        <w:t>SQL dialect: SQLite, executed using Python. Annual, monthly and department results reconcile with independent pandas calculations. Boundary tests cover denominator and date-cutoff behavior. Validation results are saved in reports/validation.txt.</w:t>
      </w:r>
    </w:p>
    <w:p>
      <w:r>
        <w:br w:type="page"/>
      </w:r>
    </w:p>
    <w:p>
      <w:pPr>
        <w:pStyle w:val="Heading1"/>
      </w:pPr>
      <w:r>
        <w:t>Power BI build guide</w:t>
      </w:r>
    </w:p>
    <w:p>
      <w:r>
        <w:t>Deliverable status: DAX source, model instructions and an importable color theme are supplied. A native PBIX file is not included. Power BI Desktop execution has not been performed. The completed interactive dashboard is HTML, and the PNG preview is generated with Python.</w:t>
      </w:r>
    </w:p>
    <w:p>
      <w:pPr>
        <w:ind w:left="288" w:hanging="288"/>
      </w:pPr>
      <w:r>
        <w:t>1. Import appointments.csv as appointments and departments.csv as departments. Do not also import processed.csv, because it duplicates the fact records.</w:t>
      </w:r>
    </w:p>
    <w:p>
      <w:pPr>
        <w:ind w:left="288" w:hanging="288"/>
      </w:pPr>
      <w:r>
        <w:t>2. Set appointment_date and booking_date to Date. Set reminder_sent and the target to Whole Number; keep missing wait/service values as null, not zero. IDs are Text.</w:t>
      </w:r>
    </w:p>
    <w:p>
      <w:pPr>
        <w:ind w:left="288" w:hanging="288"/>
      </w:pPr>
      <w:r>
        <w:t>3. Create a one-to-many relationship from departments[department_id] to appointments[department_id], with single-direction filtering from departments.</w:t>
      </w:r>
    </w:p>
    <w:p>
      <w:pPr>
        <w:ind w:left="288" w:hanging="288"/>
      </w:pPr>
      <w:r>
        <w:t>4. Create Calendar from powerbi/model.dax and relate Calendar[Date] to appointments[appointment_date], one-to-many. Do not relate Calendar to booking_date.</w:t>
      </w:r>
    </w:p>
    <w:p>
      <w:pPr>
        <w:ind w:left="288" w:hanging="288"/>
      </w:pPr>
      <w:r>
        <w:t>5. Create the three calculated columns from model.dax on appointments. Sort Lead Band by Lead Band Order. Create each measure from measures.dax separately.</w:t>
      </w:r>
    </w:p>
    <w:p>
      <w:pPr>
        <w:ind w:left="288" w:hanging="288"/>
      </w:pPr>
      <w:r>
        <w:t>6. Use a single-select Calendar[Quarter] slicer, plus department and clinic slicers. Clearing Quarter shows the full year. Do not add a status slicer, because operational measures intentionally enforce outcome definitions.</w:t>
      </w:r>
    </w:p>
    <w:p>
      <w:r>
        <w:t>Import powerbi/theme.json. Use a 16:9 canvas with four KPI cards, a wide activity chart, a tall department wait panel, and outcomes and lead-time panels below. Apply forest green and sage.</w:t>
      </w:r>
    </w:p>
    <w:tbl>
      <w:tblPr>
        <w:tblW w:type="auto" w:w="0"/>
        <w:tblLayout w:type="fixed"/>
        <w:tblLook w:firstColumn="1" w:firstRow="1" w:lastColumn="0" w:lastRow="0" w:noHBand="0" w:noVBand="1" w:val="04A0"/>
      </w:tblPr>
      <w:tblGrid>
        <w:gridCol w:w="1944"/>
        <w:gridCol w:w="8280"/>
      </w:tblGrid>
      <w:tr>
        <w:trPr>
          <w:tblHeader/>
        </w:trPr>
        <w:tc>
          <w:tcPr>
            <w:tcW w:type="dxa" w:w="1944"/>
            <w:shd w:fill="17364E"/>
            <w:tcBorders>
              <w:top w:val="single" w:sz="4" w:color="D9D9D9"/>
              <w:left w:val="single" w:sz="4" w:color="D9D9D9"/>
              <w:bottom w:val="single" w:sz="4" w:color="D9D9D9"/>
              <w:right w:val="single" w:sz="4" w:color="D9D9D9"/>
            </w:tcBorders>
          </w:tcPr>
          <w:p>
            <w:pPr>
              <w:spacing w:after="100" w:before="100"/>
            </w:pPr>
            <w:r>
              <w:rPr>
                <w:b/>
                <w:color w:val="FFFFFF"/>
                <w:sz w:val="18"/>
              </w:rPr>
              <w:t>Visual</w:t>
            </w:r>
          </w:p>
        </w:tc>
        <w:tc>
          <w:tcPr>
            <w:tcW w:type="dxa" w:w="8280"/>
            <w:shd w:fill="17364E"/>
            <w:tcBorders>
              <w:top w:val="single" w:sz="4" w:color="D9D9D9"/>
              <w:left w:val="single" w:sz="4" w:color="D9D9D9"/>
              <w:bottom w:val="single" w:sz="4" w:color="D9D9D9"/>
              <w:right w:val="single" w:sz="4" w:color="D9D9D9"/>
            </w:tcBorders>
          </w:tcPr>
          <w:p>
            <w:pPr>
              <w:spacing w:after="100" w:before="100"/>
            </w:pPr>
            <w:r>
              <w:rPr>
                <w:b/>
                <w:color w:val="FFFFFF"/>
                <w:sz w:val="18"/>
              </w:rPr>
              <w:t>Fields and measures</w:t>
            </w:r>
          </w:p>
        </w:tc>
      </w:tr>
      <w:tr>
        <w:tc>
          <w:tcPr>
            <w:tcW w:type="dxa" w:w="1944"/>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Cards</w:t>
            </w:r>
          </w:p>
        </w:tc>
        <w:tc>
          <w:tcPr>
            <w:tcW w:type="dxa" w:w="8280"/>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Appointments; No Show Rate; Average Wait Minutes; Within Target Rate</w:t>
            </w:r>
          </w:p>
        </w:tc>
      </w:tr>
      <w:tr>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Monthly lines</w:t>
            </w:r>
          </w:p>
        </w:tc>
        <w:tc>
          <w:tcPr>
            <w:tcW w:type="dxa" w:w="8280"/>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Calendar[Month] with Appointments and Attended</w:t>
            </w:r>
          </w:p>
        </w:tc>
      </w:tr>
      <w:tr>
        <w:tc>
          <w:tcPr>
            <w:tcW w:type="dxa" w:w="1944"/>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Lead-time bars</w:t>
            </w:r>
          </w:p>
        </w:tc>
        <w:tc>
          <w:tcPr>
            <w:tcW w:type="dxa" w:w="8280"/>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appointments[Lead Band] with No Show Rate</w:t>
            </w:r>
          </w:p>
        </w:tc>
      </w:tr>
      <w:tr>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Department bars</w:t>
            </w:r>
          </w:p>
        </w:tc>
        <w:tc>
          <w:tcPr>
            <w:tcW w:type="dxa" w:w="8280"/>
            <w:shd w:fill="FFFFFF"/>
            <w:tcBorders>
              <w:top w:val="single" w:sz="4" w:color="D9D9D9"/>
              <w:left w:val="single" w:sz="4" w:color="D9D9D9"/>
              <w:bottom w:val="single" w:sz="4" w:color="D9D9D9"/>
              <w:right w:val="single" w:sz="4" w:color="D9D9D9"/>
            </w:tcBorders>
          </w:tcPr>
          <w:p>
            <w:pPr>
              <w:spacing w:after="100" w:before="100"/>
            </w:pPr>
            <w:r>
              <w:rPr>
                <w:b w:val="0"/>
                <w:color w:val="000000"/>
                <w:sz w:val="18"/>
              </w:rPr>
              <w:t>departments[department] with Average Wait Minutes</w:t>
            </w:r>
          </w:p>
        </w:tc>
      </w:tr>
      <w:tr>
        <w:tc>
          <w:tcPr>
            <w:tcW w:type="dxa" w:w="1944"/>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Outcome donut</w:t>
            </w:r>
          </w:p>
        </w:tc>
        <w:tc>
          <w:tcPr>
            <w:tcW w:type="dxa" w:w="8280"/>
            <w:shd w:fill="EFF4F7"/>
            <w:tcBorders>
              <w:top w:val="single" w:sz="4" w:color="D9D9D9"/>
              <w:left w:val="single" w:sz="4" w:color="D9D9D9"/>
              <w:bottom w:val="single" w:sz="4" w:color="D9D9D9"/>
              <w:right w:val="single" w:sz="4" w:color="D9D9D9"/>
            </w:tcBorders>
          </w:tcPr>
          <w:p>
            <w:pPr>
              <w:spacing w:after="100" w:before="100"/>
            </w:pPr>
            <w:r>
              <w:rPr>
                <w:b w:val="0"/>
                <w:color w:val="000000"/>
                <w:sz w:val="18"/>
              </w:rPr>
              <w:t>appointments[status] with Appointments</w:t>
            </w:r>
          </w:p>
        </w:tc>
      </w:tr>
    </w:tbl>
    <w:p/>
    <w:p>
      <w:r>
        <w:t>Acceptance checks: full-year cards should read 3,600; 14.9%; 30.4 minutes; 49.9%. Compare monthly and department selections against reports/query_results. No-show count is 485 and the eligible denominator is 3,250.</w:t>
      </w:r>
    </w:p>
    <w:p>
      <w:r>
        <w:t>Save the native report in powerbi/ when built. Browser filter logic and Python outputs can be checked independently, but they do not establish Power BI Desktop validation.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2"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2"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Appointment Operations Project Handbook</dc:title>
  <dc:subject/>
  <dc:creator>Murphy</dc:creator>
  <cp:keywords/>
  <dc:description>generated by python-docx</dc:description>
  <cp:lastModifiedBy/>
  <cp:revision>1</cp:revision>
  <dcterms:created xsi:type="dcterms:W3CDTF">2013-12-23T23:15:00Z</dcterms:created>
  <dcterms:modified xsi:type="dcterms:W3CDTF">2013-12-23T23:15:00Z</dcterms:modified>
  <cp:category/>
</cp:coreProperties>
</file>