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F271F" w14:textId="77777777" w:rsidR="009015CA" w:rsidRPr="009015CA" w:rsidRDefault="009015CA" w:rsidP="009015CA">
      <w:pPr>
        <w:rPr>
          <w:b/>
          <w:bCs/>
        </w:rPr>
      </w:pPr>
      <w:r w:rsidRPr="009015CA">
        <w:rPr>
          <w:b/>
          <w:bCs/>
        </w:rPr>
        <w:t>Action items</w:t>
      </w:r>
      <w:r w:rsidRPr="009015CA">
        <w:rPr>
          <w:rFonts w:hint="eastAsia"/>
          <w:b/>
          <w:bCs/>
        </w:rPr>
        <w:t>：</w:t>
      </w:r>
    </w:p>
    <w:p w14:paraId="6F611321" w14:textId="55BE1042" w:rsidR="009015CA" w:rsidRDefault="009015CA" w:rsidP="009015CA">
      <w:r>
        <w:t xml:space="preserve"> The Ivy team will coordinate with Matthew Meyer and Caitlin before contacting South Lake Health subject-matter contacts</w:t>
      </w:r>
    </w:p>
    <w:p w14:paraId="7A27BEAA" w14:textId="77829FA5" w:rsidR="009015CA" w:rsidRDefault="009015CA" w:rsidP="009015CA">
      <w:r>
        <w:t xml:space="preserve"> The Ivy team will define the hosting, infrastructure, and handover requirements for transferring the prototype</w:t>
      </w:r>
    </w:p>
    <w:p w14:paraId="61CA6C54" w14:textId="1E0F4966" w:rsidR="009015CA" w:rsidRDefault="009015CA" w:rsidP="009015CA">
      <w:r>
        <w:t xml:space="preserve"> The Ivy team will meet with the enterprise architecture manager to determine the preferred deployment environment</w:t>
      </w:r>
    </w:p>
    <w:p w14:paraId="2DAAB400" w14:textId="4B7F88F3" w:rsidR="009015CA" w:rsidRDefault="009015CA" w:rsidP="009015CA">
      <w:r>
        <w:t xml:space="preserve"> The Ivy team will align the prototype’s risk categories with the HEROC risk taxonomy</w:t>
      </w:r>
    </w:p>
    <w:p w14:paraId="08C8238B" w14:textId="76B5A346" w:rsidR="009015CA" w:rsidRDefault="009015CA" w:rsidP="009015CA">
      <w:r>
        <w:t xml:space="preserve"> The Ivy team will incorporate likelihood-and-impact scoring into the risk assessment approach</w:t>
      </w:r>
    </w:p>
    <w:p w14:paraId="0108402D" w14:textId="31459BD5" w:rsidR="009015CA" w:rsidRDefault="009015CA" w:rsidP="009015CA">
      <w:r>
        <w:t xml:space="preserve"> The project team will test the platform with completed documents containing fabricated information</w:t>
      </w:r>
    </w:p>
    <w:p w14:paraId="3EBA516F" w14:textId="56780754" w:rsidR="009015CA" w:rsidRDefault="009015CA" w:rsidP="009015CA">
      <w:r>
        <w:t xml:space="preserve"> The project team will incorporate cross-referencing between original contracts and associated amendments into the prototype</w:t>
      </w:r>
    </w:p>
    <w:p w14:paraId="305151F6" w14:textId="77777777" w:rsidR="009015CA" w:rsidRPr="009015CA" w:rsidRDefault="009015CA" w:rsidP="009015CA">
      <w:pPr>
        <w:rPr>
          <w:b/>
          <w:bCs/>
        </w:rPr>
      </w:pPr>
      <w:r w:rsidRPr="009015CA">
        <w:rPr>
          <w:b/>
          <w:bCs/>
        </w:rPr>
        <w:t>Key discussion points</w:t>
      </w:r>
      <w:r w:rsidRPr="009015CA">
        <w:rPr>
          <w:rFonts w:hint="eastAsia"/>
          <w:b/>
          <w:bCs/>
        </w:rPr>
        <w:t>：</w:t>
      </w:r>
    </w:p>
    <w:p w14:paraId="0A36C2F3" w14:textId="354B99A0" w:rsidR="009015CA" w:rsidRDefault="009015CA" w:rsidP="009015CA">
      <w:r>
        <w:t>Risk Taxonomy, Policies, and Scoring</w:t>
      </w:r>
    </w:p>
    <w:p w14:paraId="71E1A935" w14:textId="77777777" w:rsidR="009015CA" w:rsidRDefault="009015CA" w:rsidP="009015CA">
      <w:r>
        <w:t>Nicole asked whether the platform lacked capabilities needed for critical document management. Sonia recommended mapping risk results to the HEROC taxonomy and adding category and subcategory fields, then proposed using likelihood-and-impact scoring to substantiate ratings beyond simple low, medium, and high labels. Sonia also shared the organization’s AI policy and noted that other referenced policies were likely in the document package.</w:t>
      </w:r>
    </w:p>
    <w:p w14:paraId="79255AA6" w14:textId="77777777" w:rsidR="009015CA" w:rsidRDefault="009015CA" w:rsidP="009015CA"/>
    <w:p w14:paraId="29139103" w14:textId="77777777" w:rsidR="009015CA" w:rsidRDefault="009015CA" w:rsidP="009015CA">
      <w:r>
        <w:t>Administration and Prototype Testing</w:t>
      </w:r>
    </w:p>
    <w:p w14:paraId="6EAED98F" w14:textId="77777777" w:rsidR="009015CA" w:rsidRDefault="009015CA" w:rsidP="009015CA">
      <w:r>
        <w:t>Sonia agreed to forward materials to Evie for team use and offer guidance. The team discussed administrator accounts, future Active Directory integration, the use of fabricated completed documents for testing, and the need to assess risks across entire multi-page documents rather than isolated pages.</w:t>
      </w:r>
    </w:p>
    <w:p w14:paraId="44DD2900" w14:textId="77777777" w:rsidR="009015CA" w:rsidRDefault="009015CA" w:rsidP="009015CA"/>
    <w:p w14:paraId="737ACDF9" w14:textId="77777777" w:rsidR="009015CA" w:rsidRDefault="009015CA" w:rsidP="009015CA">
      <w:r>
        <w:t>Human-Centered Design and Usability</w:t>
      </w:r>
    </w:p>
    <w:p w14:paraId="493CB5A7" w14:textId="77777777" w:rsidR="009015CA" w:rsidRDefault="009015CA" w:rsidP="009015CA">
      <w:r>
        <w:lastRenderedPageBreak/>
        <w:t>Sam and Matthew emphasized iterative usability testing with risk, legal, and IT stakeholders. Potential capabilities included filtering risks by category and refining the platform through direct observation of how users would apply it.</w:t>
      </w:r>
    </w:p>
    <w:p w14:paraId="3911AC99" w14:textId="77777777" w:rsidR="009015CA" w:rsidRDefault="009015CA" w:rsidP="009015CA"/>
    <w:p w14:paraId="761736C1" w14:textId="77777777" w:rsidR="009015CA" w:rsidRDefault="009015CA" w:rsidP="009015CA">
      <w:r>
        <w:t>Common Contract Risks and Date-Based Alerts</w:t>
      </w:r>
    </w:p>
    <w:p w14:paraId="739C8DC2" w14:textId="77777777" w:rsidR="009015CA" w:rsidRDefault="009015CA" w:rsidP="009015CA">
      <w:r>
        <w:t>The team identified known contract risks that could be represented as explicit triggers, including dual-signature requirements, cybersecurity clauses, governing law, and automatic renewals. Tanya added the need for reminders and flags for termination dates, renewal dates, and other contractual actions.</w:t>
      </w:r>
    </w:p>
    <w:p w14:paraId="57F75139" w14:textId="77777777" w:rsidR="009015CA" w:rsidRDefault="009015CA" w:rsidP="009015CA"/>
    <w:p w14:paraId="45F3DA63" w14:textId="77777777" w:rsidR="009015CA" w:rsidRDefault="009015CA" w:rsidP="009015CA">
      <w:r>
        <w:t>Compliance Dashboard and Risk Reduction</w:t>
      </w:r>
    </w:p>
    <w:p w14:paraId="370DEA46" w14:textId="77777777" w:rsidR="009015CA" w:rsidRDefault="009015CA" w:rsidP="009015CA">
      <w:r>
        <w:t>The team considered focusing the prototype on defined contract-risk rules while retaining broader AI scanning for unknown issues. Sam proposed a dashboard showing noncompliant documents, tracking unresolved items in a risk register, and separating legal compliance gaps from best-practice gaps.</w:t>
      </w:r>
    </w:p>
    <w:p w14:paraId="2BE13EE5" w14:textId="77777777" w:rsidR="009015CA" w:rsidRDefault="009015CA" w:rsidP="009015CA"/>
    <w:p w14:paraId="7B36AB42" w14:textId="77777777" w:rsidR="009015CA" w:rsidRDefault="009015CA" w:rsidP="009015CA">
      <w:r>
        <w:t>Contract Search, Classification, and Amendments</w:t>
      </w:r>
    </w:p>
    <w:p w14:paraId="7B54FB88" w14:textId="77777777" w:rsidR="009015CA" w:rsidRDefault="009015CA" w:rsidP="009015CA">
      <w:r>
        <w:t>Tanya described records-management requirements, including searching contracts across multiple categories and departments. She explained that amendments must remain separate documents but be linked to the original contract, while superseded agreements should be archived without losing historical access.</w:t>
      </w:r>
    </w:p>
    <w:p w14:paraId="06429AA7" w14:textId="77777777" w:rsidR="009015CA" w:rsidRDefault="009015CA" w:rsidP="009015CA"/>
    <w:p w14:paraId="4433B117" w14:textId="77777777" w:rsidR="009015CA" w:rsidRDefault="009015CA" w:rsidP="009015CA">
      <w:r>
        <w:t>Criteria, Expertise, and Source Documents</w:t>
      </w:r>
    </w:p>
    <w:p w14:paraId="0E1D9095" w14:textId="77777777" w:rsidR="009015CA" w:rsidRDefault="009015CA" w:rsidP="009015CA">
      <w:r>
        <w:t>Sam presented the concept of a criteria-based compliance dashboard and noted that applicability may vary by document type. The team discussed obtaining additional criteria, anonymized documents, and input from Alicia, who could explain recurring contract-management pain points.</w:t>
      </w:r>
    </w:p>
    <w:p w14:paraId="1F4053B6" w14:textId="77777777" w:rsidR="009015CA" w:rsidRDefault="009015CA" w:rsidP="009015CA"/>
    <w:p w14:paraId="01D82DB6" w14:textId="77777777" w:rsidR="009015CA" w:rsidRDefault="009015CA" w:rsidP="009015CA">
      <w:r>
        <w:t>Product Roadmap and Close</w:t>
      </w:r>
    </w:p>
    <w:p w14:paraId="14890D36" w14:textId="5D5E4242" w:rsidR="009015CA" w:rsidRDefault="009015CA" w:rsidP="009015CA">
      <w:pPr>
        <w:rPr>
          <w:rFonts w:hint="eastAsia"/>
        </w:rPr>
      </w:pPr>
      <w:r>
        <w:lastRenderedPageBreak/>
        <w:t>Tanya expressed support for the platform’s usability and potential value. Sam noted that the organization’s enterprise Copilot keeps information within its tenant as a possible roadmap consideration, and Krystal committed to following up on the discussion.</w:t>
      </w:r>
    </w:p>
    <w:sectPr w:rsidR="009015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5CA"/>
    <w:rsid w:val="000B4366"/>
    <w:rsid w:val="009015C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93EF0D8"/>
  <w15:chartTrackingRefBased/>
  <w15:docId w15:val="{2EFA9661-0816-FD46-AD54-36F9199D1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5CA"/>
    <w:rPr>
      <w:rFonts w:eastAsiaTheme="majorEastAsia" w:cstheme="majorBidi"/>
      <w:color w:val="272727" w:themeColor="text1" w:themeTint="D8"/>
    </w:rPr>
  </w:style>
  <w:style w:type="paragraph" w:styleId="Title">
    <w:name w:val="Title"/>
    <w:basedOn w:val="Normal"/>
    <w:next w:val="Normal"/>
    <w:link w:val="TitleChar"/>
    <w:uiPriority w:val="10"/>
    <w:qFormat/>
    <w:rsid w:val="00901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5CA"/>
    <w:pPr>
      <w:spacing w:before="160"/>
      <w:jc w:val="center"/>
    </w:pPr>
    <w:rPr>
      <w:i/>
      <w:iCs/>
      <w:color w:val="404040" w:themeColor="text1" w:themeTint="BF"/>
    </w:rPr>
  </w:style>
  <w:style w:type="character" w:customStyle="1" w:styleId="QuoteChar">
    <w:name w:val="Quote Char"/>
    <w:basedOn w:val="DefaultParagraphFont"/>
    <w:link w:val="Quote"/>
    <w:uiPriority w:val="29"/>
    <w:rsid w:val="009015CA"/>
    <w:rPr>
      <w:i/>
      <w:iCs/>
      <w:color w:val="404040" w:themeColor="text1" w:themeTint="BF"/>
    </w:rPr>
  </w:style>
  <w:style w:type="paragraph" w:styleId="ListParagraph">
    <w:name w:val="List Paragraph"/>
    <w:basedOn w:val="Normal"/>
    <w:uiPriority w:val="34"/>
    <w:qFormat/>
    <w:rsid w:val="009015CA"/>
    <w:pPr>
      <w:ind w:left="720"/>
      <w:contextualSpacing/>
    </w:pPr>
  </w:style>
  <w:style w:type="character" w:styleId="IntenseEmphasis">
    <w:name w:val="Intense Emphasis"/>
    <w:basedOn w:val="DefaultParagraphFont"/>
    <w:uiPriority w:val="21"/>
    <w:qFormat/>
    <w:rsid w:val="009015CA"/>
    <w:rPr>
      <w:i/>
      <w:iCs/>
      <w:color w:val="0F4761" w:themeColor="accent1" w:themeShade="BF"/>
    </w:rPr>
  </w:style>
  <w:style w:type="paragraph" w:styleId="IntenseQuote">
    <w:name w:val="Intense Quote"/>
    <w:basedOn w:val="Normal"/>
    <w:next w:val="Normal"/>
    <w:link w:val="IntenseQuoteChar"/>
    <w:uiPriority w:val="30"/>
    <w:qFormat/>
    <w:rsid w:val="00901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5CA"/>
    <w:rPr>
      <w:i/>
      <w:iCs/>
      <w:color w:val="0F4761" w:themeColor="accent1" w:themeShade="BF"/>
    </w:rPr>
  </w:style>
  <w:style w:type="character" w:styleId="IntenseReference">
    <w:name w:val="Intense Reference"/>
    <w:basedOn w:val="DefaultParagraphFont"/>
    <w:uiPriority w:val="32"/>
    <w:qFormat/>
    <w:rsid w:val="009015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526</Words>
  <Characters>3003</Characters>
  <Application>Microsoft Office Word</Application>
  <DocSecurity>0</DocSecurity>
  <Lines>25</Lines>
  <Paragraphs>7</Paragraphs>
  <ScaleCrop>false</ScaleCrop>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Teng, Wenjun</dc:creator>
  <cp:keywords/>
  <dc:description/>
  <cp:lastModifiedBy>Teng, Wenjun</cp:lastModifiedBy>
  <cp:revision>1</cp:revision>
  <dcterms:created xsi:type="dcterms:W3CDTF">2026-10-15T19:45:00Z</dcterms:created>
  <dcterms:modified xsi:type="dcterms:W3CDTF">2026-10-15T19:47:00Z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804de9-5306-4a8f-920e-16c68d5498ba_Enabled">
    <vt:lpwstr>true</vt:lpwstr>
  </property>
  <property fmtid="{D5CDD505-2E9C-101B-9397-08002B2CF9AE}" pid="3" name="MSIP_Label_9e804de9-5306-4a8f-920e-16c68d5498ba_SetDate">
    <vt:lpwstr>2026-10-15T19:47:38Z</vt:lpwstr>
  </property>
  <property fmtid="{D5CDD505-2E9C-101B-9397-08002B2CF9AE}" pid="4" name="MSIP_Label_9e804de9-5306-4a8f-920e-16c68d5498ba_Method">
    <vt:lpwstr>Standard</vt:lpwstr>
  </property>
  <property fmtid="{D5CDD505-2E9C-101B-9397-08002B2CF9AE}" pid="5" name="MSIP_Label_9e804de9-5306-4a8f-920e-16c68d5498ba_Name">
    <vt:lpwstr>Public</vt:lpwstr>
  </property>
  <property fmtid="{D5CDD505-2E9C-101B-9397-08002B2CF9AE}" pid="6" name="MSIP_Label_9e804de9-5306-4a8f-920e-16c68d5498ba_SiteId">
    <vt:lpwstr>547040db-1855-4320-9738-e6878f6271fc</vt:lpwstr>
  </property>
  <property fmtid="{D5CDD505-2E9C-101B-9397-08002B2CF9AE}" pid="7" name="MSIP_Label_9e804de9-5306-4a8f-920e-16c68d5498ba_ActionId">
    <vt:lpwstr>18996f01-92d2-44cf-9fca-c9dd47d876f6</vt:lpwstr>
  </property>
  <property fmtid="{D5CDD505-2E9C-101B-9397-08002B2CF9AE}" pid="8" name="MSIP_Label_9e804de9-5306-4a8f-920e-16c68d5498ba_ContentBits">
    <vt:lpwstr>0</vt:lpwstr>
  </property>
  <property fmtid="{D5CDD505-2E9C-101B-9397-08002B2CF9AE}" pid="9" name="MSIP_Label_9e804de9-5306-4a8f-920e-16c68d5498ba_Tag">
    <vt:lpwstr>50, 3, 0, 1</vt:lpwstr>
  </property>
</Properties>
</file>