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49"/>
      </w:pPr>
      <w:r>
        <w:t xml:space="preserve">ECO</w:t>
      </w:r>
      <w:r>
        <w:t xml:space="preserve"> </w:t>
      </w:r>
      <w:r>
        <w:t xml:space="preserve">120</w:t>
      </w:r>
      <w:r>
        <w:t xml:space="preserve"> </w:t>
      </w:r>
      <w:r>
        <w:t xml:space="preserve">General</w:t>
      </w:r>
      <w:r>
        <w:t xml:space="preserve"> </w:t>
      </w:r>
      <w:r>
        <w:t xml:space="preserve">Education</w:t>
      </w:r>
      <w:r>
        <w:t xml:space="preserve"> </w:t>
      </w:r>
      <w:r>
        <w:t xml:space="preserve">Assessment</w:t>
      </w:r>
      <w:r/>
    </w:p>
    <w:p>
      <w:pPr>
        <w:pStyle w:val="650"/>
      </w:pPr>
      <w:r>
        <w:t xml:space="preserve">2023-2024</w:t>
      </w:r>
      <w:r/>
    </w:p>
    <w:p>
      <w:pPr>
        <w:pStyle w:val="651"/>
        <w:rPr>
          <w14:ligatures w14:val="none"/>
        </w:rPr>
      </w:pPr>
      <w:r>
        <w:t xml:space="preserve">Department</w:t>
      </w:r>
      <w:r>
        <w:t xml:space="preserve"> </w:t>
      </w:r>
      <w:r>
        <w:t xml:space="preserve">of</w:t>
      </w:r>
      <w:r>
        <w:t xml:space="preserve"> </w:t>
      </w:r>
      <w:r>
        <w:t xml:space="preserve">Economics</w:t>
      </w:r>
      <w:r/>
    </w:p>
    <w:p>
      <w:pPr>
        <w:pStyle w:val="656"/>
      </w:pPr>
      <w:r/>
      <w:bookmarkStart w:id="28" w:name="X82befa478460fd6caa180d3f18d21c2335d61fb"/>
      <w:r>
        <w:t xml:space="preserve">Consider the following figures for the questions that follow</w:t>
      </w:r>
      <w:r/>
    </w:p>
    <w:p>
      <w:pPr>
        <w:pStyle w:val="646"/>
      </w:pPr>
      <w:r/>
      <w:r/>
    </w:p>
    <w:tbl>
      <w:tblPr>
        <w:tblStyle w:val="667"/>
        <w:tblW w:w="5000" w:type="pct"/>
        <w:tblLook w:val="0000" w:firstRow="0" w:lastRow="0" w:firstColumn="0" w:lastColumn="0" w:noHBand="0" w:noVBand="0"/>
      </w:tblPr>
      <w:tblGrid>
        <w:gridCol w:w="7920"/>
      </w:tblGrid>
      <w:tr>
        <w:trPr/>
        <w:tc>
          <w:tcPr>
            <w:textDirection w:val="lrTb"/>
            <w:noWrap w:val="false"/>
          </w:tcPr>
          <w:p>
            <w:pPr>
              <w:jc w:val="center"/>
            </w:pPr>
            <w:r/>
            <w:bookmarkStart w:id="23" w:name="fig-interestrates"/>
            <w:r>
              <mc:AlternateContent>
                <mc:Choice Requires="wpg">
                  <w:drawing>
                    <wp:inline xmlns:wp="http://schemas.openxmlformats.org/drawingml/2006/wordprocessingDrawing" distT="0" distB="0" distL="0" distR="0">
                      <wp:extent cx="5334000" cy="2667000"/>
                      <wp:effectExtent l="0" t="0" r="0" b="0"/>
                      <wp:docPr id="1"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eco120assess_fall2023_files/figure-docx/fig-interestrates-1.png"/>
                              <pic:cNvPicPr>
                                <a:picLocks noChangeAspect="1" noChangeArrowheads="1"/>
                              </pic:cNvPicPr>
                              <pic:nvPr/>
                            </pic:nvPicPr>
                            <pic:blipFill>
                              <a:blip r:embed="rId9"/>
                              <a:stretch/>
                            </pic:blipFill>
                            <pic:spPr bwMode="auto">
                              <a:xfrm>
                                <a:off x="0" y="0"/>
                                <a:ext cx="5334000" cy="2667000"/>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20.00pt;height:210.00pt;mso-wrap-distance-left:0.00pt;mso-wrap-distance-top:0.00pt;mso-wrap-distance-right:0.00pt;mso-wrap-distance-bottom:0.00pt;" stroked="f" strokeweight="0.75pt">
                      <v:path textboxrect="0,0,0,0"/>
                      <v:imagedata r:id="rId9" o:title=""/>
                    </v:shape>
                  </w:pict>
                </mc:Fallback>
              </mc:AlternateContent>
            </w:r>
            <w:r/>
          </w:p>
          <w:p>
            <w:pPr>
              <w:pStyle w:val="672"/>
              <w:jc w:val="center"/>
              <w:spacing w:before="200"/>
              <w:rPr>
                <w:b/>
                <w:bCs/>
                <w:color w:val="4f81bd" w:themeColor="accent1"/>
              </w:rPr>
            </w:pPr>
            <w:r>
              <w:rPr>
                <w:b/>
                <w:bCs/>
                <w:color w:val="4f81bd" w:themeColor="accent1"/>
              </w:rPr>
              <w:t xml:space="preserve">Figure 1: Interest Rates in U.S. and Euro Area over 2022</w:t>
            </w:r>
            <w:bookmarkEnd w:id="23"/>
            <w:r>
              <w:rPr>
                <w:b/>
                <w:bCs/>
                <w:color w:val="4f81bd" w:themeColor="accent1"/>
              </w:rPr>
            </w:r>
            <w:r>
              <w:rPr>
                <w:b/>
                <w:bCs/>
                <w:color w:val="4f81bd" w:themeColor="accent1"/>
              </w:rPr>
            </w:r>
          </w:p>
        </w:tc>
      </w:tr>
    </w:tbl>
    <w:p>
      <w:pPr>
        <w:pStyle w:val="646"/>
      </w:pPr>
      <w:r>
        <w:t xml:space="preserve"> </w:t>
      </w:r>
      <w:r/>
    </w:p>
    <w:tbl>
      <w:tblPr>
        <w:tblStyle w:val="667"/>
        <w:tblW w:w="5000" w:type="pct"/>
        <w:tblLook w:val="0000" w:firstRow="0" w:lastRow="0" w:firstColumn="0" w:lastColumn="0" w:noHBand="0" w:noVBand="0"/>
      </w:tblPr>
      <w:tblGrid>
        <w:gridCol w:w="7920"/>
      </w:tblGrid>
      <w:tr>
        <w:trPr/>
        <w:tc>
          <w:tcPr>
            <w:textDirection w:val="lrTb"/>
            <w:noWrap w:val="false"/>
          </w:tcPr>
          <w:p>
            <w:pPr>
              <w:jc w:val="center"/>
            </w:pPr>
            <w:r/>
            <w:bookmarkStart w:id="27" w:name="fig-exchangerate"/>
            <w:r>
              <mc:AlternateContent>
                <mc:Choice Requires="wpg">
                  <w:drawing>
                    <wp:inline xmlns:wp="http://schemas.openxmlformats.org/drawingml/2006/wordprocessingDrawing" distT="0" distB="0" distL="0" distR="0">
                      <wp:extent cx="5334000" cy="2667000"/>
                      <wp:effectExtent l="0" t="0" r="0" b="0"/>
                      <wp:docPr id="2"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eco120assess_fall2023_files/figure-docx/fig-exchangerate-1.png"/>
                              <pic:cNvPicPr>
                                <a:picLocks noChangeAspect="1" noChangeArrowheads="1"/>
                              </pic:cNvPicPr>
                              <pic:nvPr/>
                            </pic:nvPicPr>
                            <pic:blipFill>
                              <a:blip r:embed="rId10"/>
                              <a:stretch/>
                            </pic:blipFill>
                            <pic:spPr bwMode="auto">
                              <a:xfrm>
                                <a:off x="0" y="0"/>
                                <a:ext cx="5334000" cy="2667000"/>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20.00pt;height:210.00pt;mso-wrap-distance-left:0.00pt;mso-wrap-distance-top:0.00pt;mso-wrap-distance-right:0.00pt;mso-wrap-distance-bottom:0.00pt;" stroked="f" strokeweight="0.75pt">
                      <v:path textboxrect="0,0,0,0"/>
                      <v:imagedata r:id="rId10" o:title=""/>
                    </v:shape>
                  </w:pict>
                </mc:Fallback>
              </mc:AlternateContent>
            </w:r>
            <w:r/>
          </w:p>
          <w:p>
            <w:pPr>
              <w:pStyle w:val="672"/>
              <w:jc w:val="center"/>
              <w:spacing w:before="200"/>
              <w:rPr>
                <w:b/>
                <w:bCs/>
                <w:color w:val="4f81bd" w:themeColor="accent1"/>
              </w:rPr>
            </w:pPr>
            <w:r>
              <w:rPr>
                <w:b/>
                <w:bCs/>
                <w:color w:val="4f81bd" w:themeColor="accent1"/>
              </w:rPr>
              <w:t xml:space="preserve">Figure 2: U.S. Dollar to Euro Spot Exchange Rate</w:t>
            </w:r>
            <w:bookmarkEnd w:id="27"/>
            <w:r>
              <w:rPr>
                <w:color w:val="4f81bd" w:themeColor="accent1"/>
              </w:rPr>
            </w:r>
            <w:bookmarkEnd w:id="28"/>
            <w:r>
              <w:rPr>
                <w:color w:val="4f81bd" w:themeColor="accent1"/>
              </w:rPr>
            </w:r>
            <w:r>
              <w:rPr>
                <w:b/>
                <w:bCs/>
                <w:color w:val="4f81bd" w:themeColor="accent1"/>
              </w:rPr>
            </w:r>
          </w:p>
        </w:tc>
      </w:tr>
    </w:tbl>
    <w:p>
      <w:pPr>
        <w:shd w:val="nil"/>
      </w:pPr>
      <w:r>
        <w:rPr>
          <w:highlight w:val="none"/>
        </w:rPr>
        <w:br w:type="page" w:clear="all"/>
      </w:r>
      <w:r>
        <w:rPr>
          <w:highlight w:val="none"/>
        </w:rPr>
      </w:r>
    </w:p>
    <w:p>
      <w:pPr>
        <w:pStyle w:val="656"/>
        <w:rPr>
          <w:highlight w:val="none"/>
        </w:rPr>
      </w:pPr>
      <w:r/>
      <w:bookmarkStart w:id="41" w:name="assessment-questions"/>
      <w:r>
        <w:t xml:space="preserve">Assessment Questions</w:t>
      </w:r>
      <w:r/>
      <w:r/>
      <w:r/>
      <w:r>
        <w:rPr>
          <w:highlight w:val="none"/>
        </w:rPr>
      </w:r>
    </w:p>
    <w:p>
      <w:pPr>
        <w:pStyle w:val="646"/>
      </w:pPr>
      <w:r/>
      <w:r/>
    </w:p>
    <w:p>
      <w:pPr>
        <w:numPr>
          <w:ilvl w:val="0"/>
          <w:numId w:val="2"/>
        </w:numPr>
        <w:ind w:left="283" w:right="0" w:hanging="283"/>
      </w:pPr>
      <w:r>
        <w:t xml:space="preserve">As shown in</w:t>
      </w:r>
      <w:r>
        <w:t xml:space="preserve"> </w:t>
      </w:r>
      <w:hyperlink w:tooltip="#fig-interestrates" w:anchor="fig-interestrates" w:history="1">
        <w:r>
          <w:rPr>
            <w:rStyle w:val="679"/>
          </w:rPr>
          <w:t xml:space="preserve">Figure 1</w:t>
        </w:r>
      </w:hyperlink>
      <w:r>
        <w:t xml:space="preserve"> </w:t>
      </w:r>
      <w:r>
        <w:t xml:space="preserve">below, from January 2022 through October 2022, both the European Central Bank</w:t>
      </w:r>
      <w:r>
        <w:t xml:space="preserve"> and the United States Federal Reserve raised interest rates in their areas, but during this time, the increase was larger in the United States. Describe and illustrate the impact on the equilibrium exchange rate between Euros (EUR) and U.S. Dollars (USD).</w:t>
      </w:r>
      <w:r/>
    </w:p>
    <w:p>
      <w:pPr>
        <w:numPr>
          <w:ilvl w:val="0"/>
          <w:numId w:val="1"/>
        </w:numPr>
        <w:ind w:left="283" w:right="0" w:hanging="283"/>
      </w:pPr>
      <w:r>
        <w:rPr>
          <w:b/>
          <w:bCs/>
        </w:rPr>
        <w:t xml:space="preserve">Answer:</w:t>
      </w:r>
      <w:r>
        <w:t xml:space="preserve"> </w:t>
      </w:r>
      <w:r>
        <w:t xml:space="preserve">Two things happen: Financial investors in the Euro area make more financial investments in the United Stat</w:t>
      </w:r>
      <w:r>
        <w:t xml:space="preserve">es. This increases the demand for USD, which also implies an increase in supply of EUR. Secondly, financial investors in the United States also desire to make more financial investments in the U.S., so they pull out some of their financial investments in t</w:t>
      </w:r>
      <w:r>
        <w:t xml:space="preserve">he Euro area. This leads to a decrease in demand for EUR, which also implies a decrease in supply of USD. The figure below shows that in equilibrium, there will be a depreciation of the EUR relative to the USD / appreciation of the USD relative to the EUR.</w:t>
      </w:r>
      <w:r/>
    </w:p>
    <w:p>
      <w:pPr>
        <w:pStyle w:val="648"/>
        <w:numPr>
          <w:ilvl w:val="0"/>
          <w:numId w:val="1"/>
        </w:numPr>
        <w:ind w:left="283" w:right="0" w:hanging="283"/>
      </w:pPr>
      <w:r>
        <mc:AlternateContent>
          <mc:Choice Requires="wpg">
            <w:drawing>
              <wp:inline xmlns:wp="http://schemas.openxmlformats.org/drawingml/2006/wordprocessingDrawing" distT="0" distB="0" distL="0" distR="0">
                <wp:extent cx="5334000" cy="2729536"/>
                <wp:effectExtent l="0" t="0" r="0" b="0"/>
                <wp:docPr id="3" name="Picture" descr="EUR to USD Market for Currencies"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exchangerates-twoshifts-USD-EUR-2.png"/>
                        <pic:cNvPicPr>
                          <a:picLocks noChangeAspect="1" noChangeArrowheads="1"/>
                        </pic:cNvPicPr>
                        <pic:nvPr/>
                      </pic:nvPicPr>
                      <pic:blipFill>
                        <a:blip r:embed="rId11"/>
                        <a:stretch/>
                      </pic:blipFill>
                      <pic:spPr bwMode="auto">
                        <a:xfrm>
                          <a:off x="0" y="0"/>
                          <a:ext cx="5334000" cy="2729536"/>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20.00pt;height:214.92pt;mso-wrap-distance-left:0.00pt;mso-wrap-distance-top:0.00pt;mso-wrap-distance-right:0.00pt;mso-wrap-distance-bottom:0.00pt;" stroked="f" strokeweight="0.75pt">
                <v:path textboxrect="0,0,0,0"/>
                <v:imagedata r:id="rId11" o:title=""/>
              </v:shape>
            </w:pict>
          </mc:Fallback>
        </mc:AlternateContent>
      </w:r>
      <w:r/>
    </w:p>
    <w:p>
      <w:pPr>
        <w:numPr>
          <w:ilvl w:val="0"/>
          <w:numId w:val="2"/>
        </w:numPr>
        <w:ind w:left="283" w:right="0" w:hanging="283"/>
      </w:pPr>
      <w:r/>
      <w:hyperlink w:tooltip="#fig-exchangerate" w:anchor="fig-exchangerate" w:history="1">
        <w:r>
          <w:rPr>
            <w:rStyle w:val="679"/>
          </w:rPr>
          <w:t xml:space="preserve">Figure 2</w:t>
        </w:r>
      </w:hyperlink>
      <w:r>
        <w:t xml:space="preserve"> </w:t>
      </w:r>
      <w:r>
        <w:t xml:space="preserve">shows the actual exchange rate between Euros and U.S. Dollars from December 2021 through November 2022. Does the actual change in the exchange rate match your prediction from #1?</w:t>
      </w:r>
      <w:r/>
    </w:p>
    <w:p>
      <w:pPr>
        <w:numPr>
          <w:ilvl w:val="0"/>
          <w:numId w:val="1"/>
        </w:numPr>
        <w:ind w:left="283" w:right="0" w:hanging="283"/>
      </w:pPr>
      <w:r>
        <w:rPr>
          <w:b/>
          <w:bCs/>
        </w:rPr>
        <w:t xml:space="preserve">Answer:</w:t>
      </w:r>
      <w:r>
        <w:t xml:space="preserve"> </w:t>
      </w:r>
      <w:r>
        <w:t xml:space="preserve">The exchange rate depicted in</w:t>
      </w:r>
      <w:r>
        <w:t xml:space="preserve"> </w:t>
      </w:r>
      <w:hyperlink w:tooltip="#fig-exchangerate" w:anchor="fig-exchangerate" w:history="1">
        <w:r>
          <w:rPr>
            <w:rStyle w:val="679"/>
          </w:rPr>
          <w:t xml:space="preserve">Figure 2</w:t>
        </w:r>
      </w:hyperlink>
      <w:r>
        <w:t xml:space="preserve"> </w:t>
      </w:r>
      <w:r>
        <w:t xml:space="preserve">falls from January 2022 to October</w:t>
      </w:r>
      <w:r>
        <w:t xml:space="preserve"> 2022. The exchange rate is expressed as number of U.S. Dollars per Euro, which implies this represents the value of the Euro. The Euro has depreciated over this time against the U.S. dollar, which is the prediction of the supply and demand analysis above.</w:t>
      </w:r>
      <w:r/>
    </w:p>
    <w:p>
      <w:pPr>
        <w:numPr>
          <w:ilvl w:val="0"/>
          <w:numId w:val="2"/>
        </w:numPr>
        <w:ind w:left="283" w:right="0" w:hanging="283"/>
      </w:pPr>
      <w:r>
        <w:t xml:space="preserve">Suppos</w:t>
      </w:r>
      <w:r>
        <w:t xml:space="preserve">e in January 2023, the retail price of an iPhone in the U.S. was 750 USD. Suppose someone from Germany is visiting the United States and wishes to purchase the iPhone, but would like to know the price equivalence in Euros. Using the exchange rates given in</w:t>
      </w:r>
      <w:r>
        <w:t xml:space="preserve"> </w:t>
      </w:r>
      <w:hyperlink w:tooltip="#fig-exchangerate" w:anchor="fig-exchangerate" w:history="1">
        <w:r>
          <w:rPr>
            <w:rStyle w:val="679"/>
          </w:rPr>
          <w:t xml:space="preserve">Figure 2</w:t>
        </w:r>
      </w:hyperlink>
      <w:r>
        <w:t xml:space="preserve">, compute the cost of that iPhone in Euros.</w:t>
      </w:r>
      <w:r/>
    </w:p>
    <w:p>
      <w:pPr>
        <w:numPr>
          <w:ilvl w:val="0"/>
          <w:numId w:val="1"/>
        </w:numPr>
        <w:ind w:left="283" w:right="0" w:hanging="283"/>
      </w:pPr>
      <w:r>
        <w:rPr>
          <w:b/>
          <w:bCs/>
        </w:rPr>
        <w:t xml:space="preserve">Answer:</w:t>
      </w:r>
      <w:r>
        <w:t xml:space="preserve"> </w:t>
      </w:r>
      <w:r>
        <w:t xml:space="preserve">The exchange rate in Januar</w:t>
      </w:r>
      <w:r>
        <w:t xml:space="preserve">y 2023 was 1 EUR to 1.075 USD. To convert an amount from one currency to another, multiply by either (1 EUR / 1.075 USD) or (1.075 USD / 1 EUR). Choose the fraction that has USD in the denominator, so that USD unit cancels out, leaving the EUR as the unit.</w:t>
      </w:r>
      <w:r/>
    </w:p>
    <w:p>
      <w:pPr>
        <w:pStyle w:val="646"/>
        <w:ind w:left="283" w:right="0" w:hanging="283"/>
      </w:pPr>
      <w:r/>
      <m:oMathPara>
        <m:oMathParaPr>
          <m:jc m:val="center"/>
        </m:oMathParaPr>
        <m:oMath>
          <m:r>
            <m:rPr/>
            <m:t>750</m:t>
          </m:r>
          <m:r>
            <m:rPr/>
            <m:t> </m:t>
          </m:r>
          <m:r>
            <m:rPr/>
            <m:t>U</m:t>
          </m:r>
          <m:r>
            <m:rPr/>
            <m:t>S</m:t>
          </m:r>
          <m:r>
            <m:rPr/>
            <m:t>D</m:t>
          </m:r>
          <m:r>
            <m:rPr>
              <m:sty m:val="p"/>
            </m:rPr>
            <m:t>×</m:t>
          </m:r>
          <m:d>
            <m:dPr>
              <m:begChr m:val="("/>
              <m:endChr m:val=")"/>
              <m:sepChr m:val=""/>
              <m:ctrlPr/>
            </m:dPr>
            <m:e>
              <m:f>
                <m:fPr>
                  <m:ctrlPr/>
                </m:fPr>
                <m:num>
                  <m:r>
                    <m:rPr/>
                    <m:t>1</m:t>
                  </m:r>
                  <m:r>
                    <m:rPr/>
                    <m:t> </m:t>
                  </m:r>
                  <m:r>
                    <m:rPr/>
                    <m:t>E</m:t>
                  </m:r>
                  <m:r>
                    <m:rPr/>
                    <m:t>U</m:t>
                  </m:r>
                  <m:r>
                    <m:rPr/>
                    <m:t>R</m:t>
                  </m:r>
                </m:num>
                <m:den>
                  <m:r>
                    <m:rPr/>
                    <m:t>1.075</m:t>
                  </m:r>
                  <m:r>
                    <m:rPr/>
                    <m:t> </m:t>
                  </m:r>
                  <m:r>
                    <m:rPr/>
                    <m:t>U</m:t>
                  </m:r>
                  <m:r>
                    <m:rPr/>
                    <m:t>S</m:t>
                  </m:r>
                  <m:r>
                    <m:rPr/>
                    <m:t>D</m:t>
                  </m:r>
                </m:den>
              </m:f>
            </m:e>
          </m:d>
          <m:r>
            <m:rPr>
              <m:sty m:val="p"/>
            </m:rPr>
            <m:t>=</m:t>
          </m:r>
          <m:r>
            <m:rPr/>
            <m:t>697.67</m:t>
          </m:r>
          <m:r>
            <m:rPr/>
            <m:t> </m:t>
          </m:r>
          <m:r>
            <m:rPr/>
            <m:t>E</m:t>
          </m:r>
          <m:r>
            <m:rPr/>
            <m:t>U</m:t>
          </m:r>
          <m:r>
            <m:rPr/>
            <m:t>R</m:t>
          </m:r>
        </m:oMath>
      </m:oMathPara>
      <w:r/>
      <w:r/>
    </w:p>
    <w:p>
      <w:pPr>
        <w:numPr>
          <w:ilvl w:val="0"/>
          <w:numId w:val="2"/>
        </w:numPr>
        <w:ind w:left="283" w:right="0" w:hanging="283"/>
      </w:pPr>
      <w:r>
        <w:t xml:space="preserve">Given your answer for the change in exchange rate in problem #1, what will be the likely impact on U.S. imports and exports? Explain your answer.</w:t>
      </w:r>
      <w:r/>
    </w:p>
    <w:p>
      <w:pPr>
        <w:numPr>
          <w:ilvl w:val="0"/>
          <w:numId w:val="1"/>
        </w:numPr>
        <w:ind w:left="283" w:right="0" w:hanging="283"/>
      </w:pPr>
      <w:r>
        <w:rPr>
          <w:b/>
          <w:bCs/>
        </w:rPr>
        <w:t xml:space="preserve">Answer:</w:t>
      </w:r>
      <w:r>
        <w:t xml:space="preserve"> </w:t>
      </w:r>
      <w:r>
        <w:t xml:space="preserve">The USD appreciated in problem #1, which has two implications: 1) the U.S. Dollar buys more Euros than before, which makes Euro less expensive for Americans, which leads to an i</w:t>
      </w:r>
      <w:r>
        <w:t xml:space="preserve">ncrease in U.S. imports from Euro-area countries; and 2) the U.S. Dollar is more expensive for Euro-area people to buy, which makes U.S. goods more expensive for them to buy, which leads to a decrease in U.S. exports. Imports increase and exports decrease.</w:t>
      </w:r>
      <w:r/>
    </w:p>
    <w:p>
      <w:pPr>
        <w:numPr>
          <w:ilvl w:val="0"/>
          <w:numId w:val="2"/>
        </w:numPr>
        <w:ind w:left="283" w:right="0" w:hanging="283"/>
      </w:pPr>
      <w:r>
        <w:t xml:space="preserve">Suppose the U.S. economy was at the lon</w:t>
      </w:r>
      <w:r>
        <w:t xml:space="preserve">g-run equilibrium in the market for final goods and services (i.e. aggregate supply/aggregate demand). Given your answer in #4, describe and illustrate the short-run impact that the change in imports and exports has on equilibrium real GDP and price level.</w:t>
      </w:r>
      <w:r/>
    </w:p>
    <w:p>
      <w:pPr>
        <w:numPr>
          <w:ilvl w:val="0"/>
          <w:numId w:val="1"/>
        </w:numPr>
        <w:ind w:left="283" w:right="0" w:hanging="283"/>
      </w:pPr>
      <w:r>
        <w:rPr>
          <w:b/>
          <w:bCs/>
        </w:rPr>
        <w:t xml:space="preserve">Answer:</w:t>
      </w:r>
      <w:r>
        <w:t xml:space="preserve"> </w:t>
      </w:r>
      <w:r>
        <w:t xml:space="preserve">An increase in imports and a decrease in exports both cause a decrease in aggregate demand. The AD curve shifts to the left, which leads to a decrease in real GDP and a decrease in the price level, as illustrated below.</w:t>
      </w:r>
      <w:r/>
    </w:p>
    <w:p>
      <w:pPr>
        <w:pStyle w:val="648"/>
        <w:numPr>
          <w:ilvl w:val="0"/>
          <w:numId w:val="1"/>
        </w:numPr>
        <w:ind w:left="283" w:right="0" w:hanging="283"/>
      </w:pPr>
      <w:r>
        <mc:AlternateContent>
          <mc:Choice Requires="wpg">
            <w:drawing>
              <wp:inline xmlns:wp="http://schemas.openxmlformats.org/drawingml/2006/wordprocessingDrawing" distT="0" distB="0" distL="0" distR="0">
                <wp:extent cx="4711700" cy="4724400"/>
                <wp:effectExtent l="0" t="0" r="0" b="0"/>
                <wp:docPr id="4" name="Picture" descr="AS/AD Model"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ASAD-DecreaseAD.png"/>
                        <pic:cNvPicPr>
                          <a:picLocks noChangeAspect="1" noChangeArrowheads="1"/>
                        </pic:cNvPicPr>
                        <pic:nvPr/>
                      </pic:nvPicPr>
                      <pic:blipFill>
                        <a:blip r:embed="rId12"/>
                        <a:stretch/>
                      </pic:blipFill>
                      <pic:spPr bwMode="auto">
                        <a:xfrm>
                          <a:off x="0" y="0"/>
                          <a:ext cx="4711700" cy="4724399"/>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71.00pt;height:372.00pt;mso-wrap-distance-left:0.00pt;mso-wrap-distance-top:0.00pt;mso-wrap-distance-right:0.00pt;mso-wrap-distance-bottom:0.00pt;" stroked="f" strokeweight="0.75pt">
                <v:path textboxrect="0,0,0,0"/>
                <v:imagedata r:id="rId12" o:title=""/>
              </v:shape>
            </w:pict>
          </mc:Fallback>
        </mc:AlternateContent>
      </w:r>
      <w:r/>
    </w:p>
    <w:p>
      <w:pPr>
        <w:numPr>
          <w:ilvl w:val="0"/>
          <w:numId w:val="2"/>
        </w:numPr>
        <w:ind w:left="283" w:right="0" w:hanging="283"/>
      </w:pPr>
      <w:r>
        <w:t xml:space="preserve">Suppose elected officials in the United States see the situation that you described in #5 and want to change tax policy in such a way to bring</w:t>
      </w:r>
      <w:r>
        <w:t xml:space="preserve"> the economy back to the full-employment real GDP (i.e. potential GDP). Make a suggestion for a change in tax policy that may accomplish this. Re-draw your answer to #4 and add on to this new graph the short-run economic impact of the change in tax policy.</w:t>
      </w:r>
      <w:r/>
    </w:p>
    <w:p>
      <w:pPr>
        <w:numPr>
          <w:ilvl w:val="0"/>
          <w:numId w:val="1"/>
        </w:numPr>
        <w:ind w:left="283" w:right="0" w:hanging="283"/>
      </w:pPr>
      <w:r>
        <w:rPr>
          <w:b/>
          <w:bCs/>
        </w:rPr>
        <w:t xml:space="preserve">Answer:</w:t>
      </w:r>
      <w:r>
        <w:t xml:space="preserve"> </w:t>
      </w:r>
      <w:r>
        <w:t xml:space="preserve">Multiple types of tax policies could answer this question.</w:t>
      </w:r>
      <w:r/>
    </w:p>
    <w:p>
      <w:pPr>
        <w:numPr>
          <w:ilvl w:val="0"/>
          <w:numId w:val="1"/>
        </w:numPr>
        <w:ind w:left="283" w:right="0" w:hanging="283"/>
      </w:pPr>
      <w:r>
        <w:rPr>
          <w:b/>
          <w:bCs/>
        </w:rPr>
        <w:t xml:space="preserve">Tax Policy 1: Decrease in consumer taxes:</w:t>
      </w:r>
      <w:r>
        <w:t xml:space="preserve"> </w:t>
      </w:r>
      <w:r>
        <w:t xml:space="preserve">A decrease in taxes paid by consumers (eg: decrease in income taxes, sales taxes, etc.) wil</w:t>
      </w:r>
      <w:r>
        <w:t xml:space="preserve">l lead to an increase in consumption spending, which causes aggregate demand to shift back to the right. As shown in the illustration below, this causes real GDP to increase back to full-employment real GDP, and price level to return to its original value.</w:t>
      </w:r>
      <w:r/>
    </w:p>
    <w:p>
      <w:pPr>
        <w:pStyle w:val="648"/>
        <w:numPr>
          <w:ilvl w:val="0"/>
          <w:numId w:val="1"/>
        </w:numPr>
        <w:ind w:left="283" w:right="0" w:hanging="283"/>
      </w:pPr>
      <w:r>
        <mc:AlternateContent>
          <mc:Choice Requires="wpg">
            <w:drawing>
              <wp:inline xmlns:wp="http://schemas.openxmlformats.org/drawingml/2006/wordprocessingDrawing" distT="0" distB="0" distL="0" distR="0">
                <wp:extent cx="4711700" cy="4724400"/>
                <wp:effectExtent l="0" t="0" r="0" b="0"/>
                <wp:docPr id="5" name="Picture" descr="AS/AD ModelA"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ASAD-DecreaseAD-ADRight.png"/>
                        <pic:cNvPicPr>
                          <a:picLocks noChangeAspect="1" noChangeArrowheads="1"/>
                        </pic:cNvPicPr>
                        <pic:nvPr/>
                      </pic:nvPicPr>
                      <pic:blipFill>
                        <a:blip r:embed="rId13"/>
                        <a:stretch/>
                      </pic:blipFill>
                      <pic:spPr bwMode="auto">
                        <a:xfrm>
                          <a:off x="0" y="0"/>
                          <a:ext cx="4711700" cy="4724399"/>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71.00pt;height:372.00pt;mso-wrap-distance-left:0.00pt;mso-wrap-distance-top:0.00pt;mso-wrap-distance-right:0.00pt;mso-wrap-distance-bottom:0.00pt;" stroked="f" strokeweight="0.75pt">
                <v:path textboxrect="0,0,0,0"/>
                <v:imagedata r:id="rId13" o:title=""/>
              </v:shape>
            </w:pict>
          </mc:Fallback>
        </mc:AlternateContent>
      </w:r>
      <w:r/>
    </w:p>
    <w:p>
      <w:pPr>
        <w:numPr>
          <w:ilvl w:val="0"/>
          <w:numId w:val="1"/>
        </w:numPr>
        <w:ind w:left="283" w:right="0" w:hanging="283"/>
      </w:pPr>
      <w:r>
        <w:rPr>
          <w:b/>
          <w:bCs/>
        </w:rPr>
        <w:t xml:space="preserve">Tax Policy 2: Decrease in business taxes:</w:t>
      </w:r>
      <w:r>
        <w:t xml:space="preserve"> </w:t>
      </w:r>
      <w:r>
        <w:t xml:space="preserve">Alternatively, the government could decrease taxes for businesses, which may lead to a rightward shift in aggregate supply. As shown in the illustration below, this causes real GDP to increase and the price level to further decrease.</w:t>
      </w:r>
      <w:r/>
    </w:p>
    <w:p>
      <w:pPr>
        <w:pStyle w:val="648"/>
        <w:numPr>
          <w:ilvl w:val="0"/>
          <w:numId w:val="1"/>
        </w:numPr>
        <w:ind w:left="283" w:right="0" w:hanging="283"/>
      </w:pPr>
      <w:r>
        <mc:AlternateContent>
          <mc:Choice Requires="wpg">
            <w:drawing>
              <wp:inline xmlns:wp="http://schemas.openxmlformats.org/drawingml/2006/wordprocessingDrawing" distT="0" distB="0" distL="0" distR="0">
                <wp:extent cx="4711700" cy="4724400"/>
                <wp:effectExtent l="0" t="0" r="0" b="0"/>
                <wp:docPr id="6" name="Picture" descr="AS/AD Model"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ASAD-DecreaseAD-ASRight.png"/>
                        <pic:cNvPicPr>
                          <a:picLocks noChangeAspect="1" noChangeArrowheads="1"/>
                        </pic:cNvPicPr>
                        <pic:nvPr/>
                      </pic:nvPicPr>
                      <pic:blipFill>
                        <a:blip r:embed="rId14"/>
                        <a:stretch/>
                      </pic:blipFill>
                      <pic:spPr bwMode="auto">
                        <a:xfrm>
                          <a:off x="0" y="0"/>
                          <a:ext cx="4711700" cy="4724399"/>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71.00pt;height:372.00pt;mso-wrap-distance-left:0.00pt;mso-wrap-distance-top:0.00pt;mso-wrap-distance-right:0.00pt;mso-wrap-distance-bottom:0.00pt;" stroked="f" strokeweight="0.75pt">
                <v:path textboxrect="0,0,0,0"/>
                <v:imagedata r:id="rId14" o:title=""/>
              </v:shape>
            </w:pict>
          </mc:Fallback>
        </mc:AlternateContent>
      </w:r>
      <w:bookmarkEnd w:id="41"/>
      <w:r/>
    </w:p>
    <w:sectPr>
      <w:footnotePr/>
      <w:endnotePr/>
      <w:type w:val="nextPage"/>
      <w:pgSz w:w="11906" w:h="16838" w:orient="portrait"/>
      <w:pgMar w:top="720" w:right="720" w:bottom="720" w:left="720"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4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
      <w:lvlJc w:val="left"/>
      <w:pPr>
        <w:ind w:left="720" w:hanging="480"/>
      </w:pPr>
    </w:lvl>
    <w:lvl w:ilvl="1">
      <w:start w:val="1"/>
      <w:numFmt w:val="bullet"/>
      <w:isLgl w:val="false"/>
      <w:suff w:val="tab"/>
      <w:lvlText w:val=" "/>
      <w:lvlJc w:val="left"/>
      <w:pPr>
        <w:ind w:left="1440" w:hanging="480"/>
      </w:pPr>
    </w:lvl>
    <w:lvl w:ilvl="2">
      <w:start w:val="1"/>
      <w:numFmt w:val="bullet"/>
      <w:isLgl w:val="false"/>
      <w:suff w:val="tab"/>
      <w:lvlText w:val=" "/>
      <w:lvlJc w:val="left"/>
      <w:pPr>
        <w:ind w:left="2160" w:hanging="480"/>
      </w:pPr>
    </w:lvl>
    <w:lvl w:ilvl="3">
      <w:start w:val="1"/>
      <w:numFmt w:val="bullet"/>
      <w:isLgl w:val="false"/>
      <w:suff w:val="tab"/>
      <w:lvlText w:val=" "/>
      <w:lvlJc w:val="left"/>
      <w:pPr>
        <w:ind w:left="2880" w:hanging="480"/>
      </w:pPr>
    </w:lvl>
    <w:lvl w:ilvl="4">
      <w:start w:val="1"/>
      <w:numFmt w:val="bullet"/>
      <w:isLgl w:val="false"/>
      <w:suff w:val="tab"/>
      <w:lvlText w:val=" "/>
      <w:lvlJc w:val="left"/>
      <w:pPr>
        <w:ind w:left="3600" w:hanging="480"/>
      </w:pPr>
    </w:lvl>
    <w:lvl w:ilvl="5">
      <w:start w:val="1"/>
      <w:numFmt w:val="bullet"/>
      <w:isLgl w:val="false"/>
      <w:suff w:val="tab"/>
      <w:lvlText w:val=" "/>
      <w:lvlJc w:val="left"/>
      <w:pPr>
        <w:ind w:left="4320" w:hanging="480"/>
      </w:pPr>
    </w:lvl>
    <w:lvl w:ilvl="6">
      <w:start w:val="1"/>
      <w:numFmt w:val="bullet"/>
      <w:isLgl w:val="false"/>
      <w:suff w:val="tab"/>
      <w:lvlText w:val=" "/>
      <w:lvlJc w:val="left"/>
      <w:pPr>
        <w:ind w:left="5040" w:hanging="480"/>
      </w:pPr>
    </w:lvl>
    <w:lvl w:ilvl="7">
      <w:start w:val="1"/>
      <w:numFmt w:val="bullet"/>
      <w:isLgl w:val="false"/>
      <w:suff w:val="tab"/>
      <w:lvlText w:val=" "/>
      <w:lvlJc w:val="left"/>
      <w:pPr>
        <w:ind w:left="5760" w:hanging="480"/>
      </w:pPr>
    </w:lvl>
    <w:lvl w:ilvl="8">
      <w:start w:val="1"/>
      <w:numFmt w:val="bullet"/>
      <w:isLgl w:val="false"/>
      <w:suff w:val="tab"/>
      <w:lvlText w:val=" "/>
      <w:lvlJc w:val="left"/>
      <w:pPr>
        <w:ind w:left="6480" w:hanging="480"/>
      </w:pPr>
    </w:lvl>
  </w:abstractNum>
  <w:abstractNum w:abstractNumId="1">
    <w:multiLevelType w:val="hybridMultilevel"/>
    <w:lvl w:ilvl="0">
      <w:start w:val="1"/>
      <w:numFmt w:val="decimal"/>
      <w:isLgl w:val="false"/>
      <w:suff w:val="tab"/>
      <w:lvlText w:val="%1."/>
      <w:lvlJc w:val="left"/>
      <w:pPr>
        <w:ind w:left="720" w:hanging="480"/>
      </w:pPr>
    </w:lvl>
    <w:lvl w:ilvl="1">
      <w:start w:val="1"/>
      <w:numFmt w:val="decimal"/>
      <w:isLgl w:val="false"/>
      <w:suff w:val="tab"/>
      <w:lvlText w:val="%2."/>
      <w:lvlJc w:val="left"/>
      <w:pPr>
        <w:ind w:left="1440" w:hanging="480"/>
      </w:pPr>
    </w:lvl>
    <w:lvl w:ilvl="2">
      <w:start w:val="1"/>
      <w:numFmt w:val="decimal"/>
      <w:isLgl w:val="false"/>
      <w:suff w:val="tab"/>
      <w:lvlText w:val="%3."/>
      <w:lvlJc w:val="left"/>
      <w:pPr>
        <w:ind w:left="2160" w:hanging="480"/>
      </w:pPr>
    </w:lvl>
    <w:lvl w:ilvl="3">
      <w:start w:val="1"/>
      <w:numFmt w:val="decimal"/>
      <w:isLgl w:val="false"/>
      <w:suff w:val="tab"/>
      <w:lvlText w:val="%4."/>
      <w:lvlJc w:val="left"/>
      <w:pPr>
        <w:ind w:left="2880" w:hanging="480"/>
      </w:pPr>
    </w:lvl>
    <w:lvl w:ilvl="4">
      <w:start w:val="1"/>
      <w:numFmt w:val="decimal"/>
      <w:isLgl w:val="false"/>
      <w:suff w:val="tab"/>
      <w:lvlText w:val="%5."/>
      <w:lvlJc w:val="left"/>
      <w:pPr>
        <w:ind w:left="3600" w:hanging="480"/>
      </w:pPr>
    </w:lvl>
    <w:lvl w:ilvl="5">
      <w:start w:val="1"/>
      <w:numFmt w:val="decimal"/>
      <w:isLgl w:val="false"/>
      <w:suff w:val="tab"/>
      <w:lvlText w:val="%6."/>
      <w:lvlJc w:val="left"/>
      <w:pPr>
        <w:ind w:left="4320" w:hanging="480"/>
      </w:pPr>
    </w:lvl>
    <w:lvl w:ilvl="6">
      <w:start w:val="1"/>
      <w:numFmt w:val="decimal"/>
      <w:isLgl w:val="false"/>
      <w:suff w:val="tab"/>
      <w:lvlText w:val="%7."/>
      <w:lvlJc w:val="left"/>
      <w:pPr>
        <w:ind w:left="5040" w:hanging="480"/>
      </w:pPr>
    </w:lvl>
    <w:lvl w:ilvl="7">
      <w:start w:val="1"/>
      <w:numFmt w:val="decimal"/>
      <w:isLgl w:val="false"/>
      <w:suff w:val="tab"/>
      <w:lvlText w:val="%8."/>
      <w:lvlJc w:val="left"/>
      <w:pPr>
        <w:ind w:left="5760" w:hanging="480"/>
      </w:pPr>
    </w:lvl>
    <w:lvl w:ilvl="8">
      <w:start w:val="1"/>
      <w:numFmt w:val="decimal"/>
      <w:isLgl w:val="false"/>
      <w:suff w:val="tab"/>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wrapRight m:val="true"/>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spacing w:before="0" w:beforeAutospacing="0" w:after="200" w:afterAutospacing="0" w:line="24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66"/>
    <w:link w:val="655"/>
    <w:uiPriority w:val="9"/>
    <w:rPr>
      <w:rFonts w:ascii="Arial" w:hAnsi="Arial" w:eastAsia="Arial" w:cs="Arial"/>
      <w:sz w:val="40"/>
      <w:szCs w:val="40"/>
    </w:rPr>
  </w:style>
  <w:style w:type="character" w:styleId="16">
    <w:name w:val="Heading 2 Char"/>
    <w:basedOn w:val="666"/>
    <w:link w:val="656"/>
    <w:uiPriority w:val="9"/>
    <w:rPr>
      <w:rFonts w:ascii="Arial" w:hAnsi="Arial" w:eastAsia="Arial" w:cs="Arial"/>
      <w:sz w:val="34"/>
    </w:rPr>
  </w:style>
  <w:style w:type="character" w:styleId="18">
    <w:name w:val="Heading 3 Char"/>
    <w:basedOn w:val="666"/>
    <w:link w:val="657"/>
    <w:uiPriority w:val="9"/>
    <w:rPr>
      <w:rFonts w:ascii="Arial" w:hAnsi="Arial" w:eastAsia="Arial" w:cs="Arial"/>
      <w:sz w:val="30"/>
      <w:szCs w:val="30"/>
    </w:rPr>
  </w:style>
  <w:style w:type="character" w:styleId="20">
    <w:name w:val="Heading 4 Char"/>
    <w:basedOn w:val="666"/>
    <w:link w:val="658"/>
    <w:uiPriority w:val="9"/>
    <w:rPr>
      <w:rFonts w:ascii="Arial" w:hAnsi="Arial" w:eastAsia="Arial" w:cs="Arial"/>
      <w:b/>
      <w:bCs/>
      <w:sz w:val="26"/>
      <w:szCs w:val="26"/>
    </w:rPr>
  </w:style>
  <w:style w:type="character" w:styleId="22">
    <w:name w:val="Heading 5 Char"/>
    <w:basedOn w:val="666"/>
    <w:link w:val="659"/>
    <w:uiPriority w:val="9"/>
    <w:rPr>
      <w:rFonts w:ascii="Arial" w:hAnsi="Arial" w:eastAsia="Arial" w:cs="Arial"/>
      <w:b/>
      <w:bCs/>
      <w:sz w:val="24"/>
      <w:szCs w:val="24"/>
    </w:rPr>
  </w:style>
  <w:style w:type="character" w:styleId="24">
    <w:name w:val="Heading 6 Char"/>
    <w:basedOn w:val="666"/>
    <w:link w:val="660"/>
    <w:uiPriority w:val="9"/>
    <w:rPr>
      <w:rFonts w:ascii="Arial" w:hAnsi="Arial" w:eastAsia="Arial" w:cs="Arial"/>
      <w:b/>
      <w:bCs/>
      <w:sz w:val="22"/>
      <w:szCs w:val="22"/>
    </w:rPr>
  </w:style>
  <w:style w:type="character" w:styleId="26">
    <w:name w:val="Heading 7 Char"/>
    <w:basedOn w:val="666"/>
    <w:link w:val="661"/>
    <w:uiPriority w:val="9"/>
    <w:rPr>
      <w:rFonts w:ascii="Arial" w:hAnsi="Arial" w:eastAsia="Arial" w:cs="Arial"/>
      <w:b/>
      <w:bCs/>
      <w:i/>
      <w:iCs/>
      <w:sz w:val="22"/>
      <w:szCs w:val="22"/>
    </w:rPr>
  </w:style>
  <w:style w:type="character" w:styleId="28">
    <w:name w:val="Heading 8 Char"/>
    <w:basedOn w:val="666"/>
    <w:link w:val="662"/>
    <w:uiPriority w:val="9"/>
    <w:rPr>
      <w:rFonts w:ascii="Arial" w:hAnsi="Arial" w:eastAsia="Arial" w:cs="Arial"/>
      <w:i/>
      <w:iCs/>
      <w:sz w:val="22"/>
      <w:szCs w:val="22"/>
    </w:rPr>
  </w:style>
  <w:style w:type="character" w:styleId="30">
    <w:name w:val="Heading 9 Char"/>
    <w:basedOn w:val="666"/>
    <w:link w:val="663"/>
    <w:uiPriority w:val="9"/>
    <w:rPr>
      <w:rFonts w:ascii="Arial" w:hAnsi="Arial" w:eastAsia="Arial" w:cs="Arial"/>
      <w:i/>
      <w:iCs/>
      <w:sz w:val="21"/>
      <w:szCs w:val="21"/>
    </w:rPr>
  </w:style>
  <w:style w:type="paragraph" w:styleId="31">
    <w:name w:val="List Paragraph"/>
    <w:basedOn w:val="645"/>
    <w:uiPriority w:val="34"/>
    <w:qFormat/>
    <w:pPr>
      <w:contextualSpacing/>
      <w:ind w:left="720"/>
    </w:pPr>
  </w:style>
  <w:style w:type="table" w:styleId="32">
    <w:name w:val="Normal Table"/>
    <w:uiPriority w:val="99"/>
    <w:semiHidden/>
    <w:unhideWhenUsed/>
    <w:tblPr>
      <w:tblInd w:w="0" w:type="dxa"/>
      <w:tblCellMar>
        <w:left w:w="108" w:type="dxa"/>
        <w:top w:w="0" w:type="dxa"/>
        <w:right w:w="108" w:type="dxa"/>
        <w:bottom w:w="0" w:type="dxa"/>
      </w:tblCellMar>
    </w:tblPr>
  </w:style>
  <w:style w:type="paragraph" w:styleId="33">
    <w:name w:val="No Spacing"/>
    <w:uiPriority w:val="1"/>
    <w:qFormat/>
    <w:pPr>
      <w:spacing w:before="0" w:after="0" w:line="240" w:lineRule="auto"/>
    </w:pPr>
  </w:style>
  <w:style w:type="character" w:styleId="35">
    <w:name w:val="Title Char"/>
    <w:basedOn w:val="666"/>
    <w:link w:val="649"/>
    <w:uiPriority w:val="10"/>
    <w:rPr>
      <w:sz w:val="48"/>
      <w:szCs w:val="48"/>
    </w:rPr>
  </w:style>
  <w:style w:type="character" w:styleId="37">
    <w:name w:val="Subtitle Char"/>
    <w:basedOn w:val="666"/>
    <w:link w:val="650"/>
    <w:uiPriority w:val="11"/>
    <w:rPr>
      <w:sz w:val="24"/>
      <w:szCs w:val="24"/>
    </w:rPr>
  </w:style>
  <w:style w:type="paragraph" w:styleId="38">
    <w:name w:val="Quote"/>
    <w:basedOn w:val="645"/>
    <w:next w:val="645"/>
    <w:link w:val="39"/>
    <w:uiPriority w:val="29"/>
    <w:qFormat/>
    <w:pPr>
      <w:ind w:left="720" w:right="720"/>
    </w:pPr>
    <w:rPr>
      <w:i/>
    </w:rPr>
  </w:style>
  <w:style w:type="character" w:styleId="39">
    <w:name w:val="Quote Char"/>
    <w:link w:val="38"/>
    <w:uiPriority w:val="29"/>
    <w:rPr>
      <w:i/>
    </w:rPr>
  </w:style>
  <w:style w:type="paragraph" w:styleId="40">
    <w:name w:val="Intense Quote"/>
    <w:basedOn w:val="645"/>
    <w:next w:val="645"/>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45"/>
    <w:link w:val="43"/>
    <w:uiPriority w:val="99"/>
    <w:unhideWhenUsed/>
    <w:pPr>
      <w:spacing w:after="0" w:line="240" w:lineRule="auto"/>
      <w:tabs>
        <w:tab w:val="center" w:pos="7143" w:leader="none"/>
        <w:tab w:val="right" w:pos="14287" w:leader="none"/>
      </w:tabs>
    </w:pPr>
  </w:style>
  <w:style w:type="character" w:styleId="43">
    <w:name w:val="Header Char"/>
    <w:basedOn w:val="666"/>
    <w:link w:val="42"/>
    <w:uiPriority w:val="99"/>
  </w:style>
  <w:style w:type="paragraph" w:styleId="44">
    <w:name w:val="Footer"/>
    <w:basedOn w:val="645"/>
    <w:link w:val="47"/>
    <w:uiPriority w:val="99"/>
    <w:unhideWhenUsed/>
    <w:pPr>
      <w:spacing w:after="0" w:line="240" w:lineRule="auto"/>
      <w:tabs>
        <w:tab w:val="center" w:pos="7143" w:leader="none"/>
        <w:tab w:val="right" w:pos="14287" w:leader="none"/>
      </w:tabs>
    </w:pPr>
  </w:style>
  <w:style w:type="character" w:styleId="45">
    <w:name w:val="Footer Char"/>
    <w:basedOn w:val="666"/>
    <w:link w:val="44"/>
    <w:uiPriority w:val="99"/>
  </w:style>
  <w:style w:type="character" w:styleId="47">
    <w:name w:val="Caption Char"/>
    <w:basedOn w:val="670"/>
    <w:link w:val="44"/>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6">
    <w:name w:val="Footnote Text Char"/>
    <w:link w:val="665"/>
    <w:uiPriority w:val="99"/>
    <w:rPr>
      <w:sz w:val="18"/>
    </w:rPr>
  </w:style>
  <w:style w:type="paragraph" w:styleId="178">
    <w:name w:val="endnote text"/>
    <w:basedOn w:val="645"/>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66"/>
    <w:uiPriority w:val="99"/>
    <w:semiHidden/>
    <w:unhideWhenUsed/>
    <w:rPr>
      <w:vertAlign w:val="superscript"/>
    </w:rPr>
  </w:style>
  <w:style w:type="paragraph" w:styleId="181">
    <w:name w:val="toc 1"/>
    <w:basedOn w:val="645"/>
    <w:next w:val="645"/>
    <w:uiPriority w:val="39"/>
    <w:unhideWhenUsed/>
    <w:pPr>
      <w:ind w:left="0" w:right="0" w:firstLine="0"/>
      <w:spacing w:after="57"/>
    </w:pPr>
  </w:style>
  <w:style w:type="paragraph" w:styleId="182">
    <w:name w:val="toc 2"/>
    <w:basedOn w:val="645"/>
    <w:next w:val="645"/>
    <w:uiPriority w:val="39"/>
    <w:unhideWhenUsed/>
    <w:pPr>
      <w:ind w:left="283" w:right="0" w:firstLine="0"/>
      <w:spacing w:after="57"/>
    </w:pPr>
  </w:style>
  <w:style w:type="paragraph" w:styleId="183">
    <w:name w:val="toc 3"/>
    <w:basedOn w:val="645"/>
    <w:next w:val="645"/>
    <w:uiPriority w:val="39"/>
    <w:unhideWhenUsed/>
    <w:pPr>
      <w:ind w:left="567" w:right="0" w:firstLine="0"/>
      <w:spacing w:after="57"/>
    </w:pPr>
  </w:style>
  <w:style w:type="paragraph" w:styleId="184">
    <w:name w:val="toc 4"/>
    <w:basedOn w:val="645"/>
    <w:next w:val="645"/>
    <w:uiPriority w:val="39"/>
    <w:unhideWhenUsed/>
    <w:pPr>
      <w:ind w:left="850" w:right="0" w:firstLine="0"/>
      <w:spacing w:after="57"/>
    </w:pPr>
  </w:style>
  <w:style w:type="paragraph" w:styleId="185">
    <w:name w:val="toc 5"/>
    <w:basedOn w:val="645"/>
    <w:next w:val="645"/>
    <w:uiPriority w:val="39"/>
    <w:unhideWhenUsed/>
    <w:pPr>
      <w:ind w:left="1134" w:right="0" w:firstLine="0"/>
      <w:spacing w:after="57"/>
    </w:pPr>
  </w:style>
  <w:style w:type="paragraph" w:styleId="186">
    <w:name w:val="toc 6"/>
    <w:basedOn w:val="645"/>
    <w:next w:val="645"/>
    <w:uiPriority w:val="39"/>
    <w:unhideWhenUsed/>
    <w:pPr>
      <w:ind w:left="1417" w:right="0" w:firstLine="0"/>
      <w:spacing w:after="57"/>
    </w:pPr>
  </w:style>
  <w:style w:type="paragraph" w:styleId="187">
    <w:name w:val="toc 7"/>
    <w:basedOn w:val="645"/>
    <w:next w:val="645"/>
    <w:uiPriority w:val="39"/>
    <w:unhideWhenUsed/>
    <w:pPr>
      <w:ind w:left="1701" w:right="0" w:firstLine="0"/>
      <w:spacing w:after="57"/>
    </w:pPr>
  </w:style>
  <w:style w:type="paragraph" w:styleId="188">
    <w:name w:val="toc 8"/>
    <w:basedOn w:val="645"/>
    <w:next w:val="645"/>
    <w:uiPriority w:val="39"/>
    <w:unhideWhenUsed/>
    <w:pPr>
      <w:ind w:left="1984" w:right="0" w:firstLine="0"/>
      <w:spacing w:after="57"/>
    </w:pPr>
  </w:style>
  <w:style w:type="paragraph" w:styleId="189">
    <w:name w:val="toc 9"/>
    <w:basedOn w:val="645"/>
    <w:next w:val="645"/>
    <w:uiPriority w:val="39"/>
    <w:unhideWhenUsed/>
    <w:pPr>
      <w:ind w:left="2268" w:right="0" w:firstLine="0"/>
      <w:spacing w:after="57"/>
    </w:pPr>
  </w:style>
  <w:style w:type="paragraph" w:styleId="191">
    <w:name w:val="table of figures"/>
    <w:basedOn w:val="645"/>
    <w:next w:val="645"/>
    <w:uiPriority w:val="99"/>
    <w:unhideWhenUsed/>
    <w:pPr>
      <w:spacing w:after="0" w:afterAutospacing="0"/>
    </w:pPr>
  </w:style>
  <w:style w:type="paragraph" w:styleId="645" w:default="1">
    <w:name w:val="Normal"/>
    <w:qFormat/>
  </w:style>
  <w:style w:type="paragraph" w:styleId="646">
    <w:name w:val="Body Text"/>
    <w:basedOn w:val="645"/>
    <w:link w:val="675"/>
    <w:qFormat/>
    <w:pPr>
      <w:spacing w:before="180" w:after="180"/>
    </w:pPr>
  </w:style>
  <w:style w:type="paragraph" w:styleId="647" w:customStyle="1">
    <w:name w:val="First Paragraph"/>
    <w:basedOn w:val="646"/>
    <w:next w:val="646"/>
    <w:qFormat/>
  </w:style>
  <w:style w:type="paragraph" w:styleId="648" w:customStyle="1">
    <w:name w:val="Compact"/>
    <w:basedOn w:val="646"/>
    <w:qFormat/>
    <w:pPr>
      <w:spacing w:before="36" w:after="36"/>
    </w:pPr>
  </w:style>
  <w:style w:type="paragraph" w:styleId="649">
    <w:name w:val="Title"/>
    <w:basedOn w:val="645"/>
    <w:next w:val="646"/>
    <w:qFormat/>
    <w:pPr>
      <w:jc w:val="center"/>
      <w:keepLines/>
      <w:keepNext/>
      <w:spacing w:before="480" w:after="240"/>
    </w:pPr>
    <w:rPr>
      <w:rFonts w:asciiTheme="majorHAnsi" w:hAnsiTheme="majorHAnsi" w:eastAsiaTheme="majorEastAsia" w:cstheme="majorBidi"/>
      <w:b/>
      <w:bCs/>
      <w:color w:val="345a8a" w:themeColor="accent1" w:themeShade="B5"/>
      <w:sz w:val="36"/>
      <w:szCs w:val="36"/>
    </w:rPr>
  </w:style>
  <w:style w:type="paragraph" w:styleId="650">
    <w:name w:val="Subtitle"/>
    <w:basedOn w:val="649"/>
    <w:next w:val="646"/>
    <w:qFormat/>
    <w:pPr>
      <w:jc w:val="center"/>
      <w:keepLines/>
      <w:keepNext/>
      <w:spacing w:before="240" w:after="240"/>
    </w:pPr>
    <w:rPr>
      <w:sz w:val="30"/>
      <w:szCs w:val="30"/>
    </w:rPr>
  </w:style>
  <w:style w:type="paragraph" w:styleId="651" w:customStyle="1">
    <w:name w:val="Author"/>
    <w:next w:val="646"/>
    <w:qFormat/>
    <w:pPr>
      <w:jc w:val="center"/>
      <w:keepLines/>
      <w:keepNext/>
    </w:pPr>
    <w:rPr>
      <w:sz w:val="32"/>
      <w:szCs w:val="32"/>
    </w:rPr>
  </w:style>
  <w:style w:type="paragraph" w:styleId="652">
    <w:name w:val="Date"/>
    <w:next w:val="646"/>
    <w:qFormat/>
    <w:pPr>
      <w:jc w:val="center"/>
      <w:keepLines/>
      <w:keepNext/>
    </w:pPr>
  </w:style>
  <w:style w:type="paragraph" w:styleId="653" w:customStyle="1">
    <w:name w:val="Abstract"/>
    <w:basedOn w:val="645"/>
    <w:next w:val="646"/>
    <w:qFormat/>
    <w:pPr>
      <w:keepLines/>
      <w:keepNext/>
      <w:spacing w:before="300" w:after="300"/>
    </w:pPr>
    <w:rPr>
      <w:sz w:val="20"/>
      <w:szCs w:val="20"/>
    </w:rPr>
  </w:style>
  <w:style w:type="paragraph" w:styleId="654">
    <w:name w:val="Bibliography"/>
    <w:basedOn w:val="645"/>
    <w:next w:val="654"/>
    <w:qFormat/>
  </w:style>
  <w:style w:type="paragraph" w:styleId="655">
    <w:name w:val="Heading 1"/>
    <w:basedOn w:val="645"/>
    <w:next w:val="646"/>
    <w:uiPriority w:val="9"/>
    <w:qFormat/>
    <w:pPr>
      <w:keepLines/>
      <w:keepNext/>
      <w:spacing w:before="480" w:after="0"/>
      <w:outlineLvl w:val="0"/>
    </w:pPr>
    <w:rPr>
      <w:rFonts w:asciiTheme="majorHAnsi" w:hAnsiTheme="majorHAnsi" w:eastAsiaTheme="majorEastAsia" w:cstheme="majorBidi"/>
      <w:b/>
      <w:bCs/>
      <w:color w:val="4f81bd" w:themeColor="accent1"/>
      <w:sz w:val="32"/>
      <w:szCs w:val="32"/>
    </w:rPr>
  </w:style>
  <w:style w:type="paragraph" w:styleId="656">
    <w:name w:val="Heading 2"/>
    <w:basedOn w:val="645"/>
    <w:next w:val="646"/>
    <w:uiPriority w:val="9"/>
    <w:unhideWhenUsed/>
    <w:qFormat/>
    <w:pPr>
      <w:keepLines/>
      <w:keepNext/>
      <w:spacing w:before="200" w:after="0"/>
      <w:outlineLvl w:val="1"/>
    </w:pPr>
    <w:rPr>
      <w:rFonts w:asciiTheme="majorHAnsi" w:hAnsiTheme="majorHAnsi" w:eastAsiaTheme="majorEastAsia" w:cstheme="majorBidi"/>
      <w:b/>
      <w:bCs/>
      <w:color w:val="4f81bd" w:themeColor="accent1"/>
      <w:sz w:val="28"/>
      <w:szCs w:val="28"/>
    </w:rPr>
  </w:style>
  <w:style w:type="paragraph" w:styleId="657">
    <w:name w:val="Heading 3"/>
    <w:basedOn w:val="645"/>
    <w:next w:val="646"/>
    <w:uiPriority w:val="9"/>
    <w:unhideWhenUsed/>
    <w:qFormat/>
    <w:pPr>
      <w:keepLines/>
      <w:keepNext/>
      <w:spacing w:before="200" w:after="0"/>
      <w:outlineLvl w:val="2"/>
    </w:pPr>
    <w:rPr>
      <w:rFonts w:asciiTheme="majorHAnsi" w:hAnsiTheme="majorHAnsi" w:eastAsiaTheme="majorEastAsia" w:cstheme="majorBidi"/>
      <w:b/>
      <w:bCs/>
      <w:color w:val="4f81bd" w:themeColor="accent1"/>
      <w:sz w:val="24"/>
      <w:szCs w:val="24"/>
    </w:rPr>
  </w:style>
  <w:style w:type="paragraph" w:styleId="658">
    <w:name w:val="Heading 4"/>
    <w:basedOn w:val="645"/>
    <w:next w:val="646"/>
    <w:uiPriority w:val="9"/>
    <w:unhideWhenUsed/>
    <w:qFormat/>
    <w:pPr>
      <w:keepLines/>
      <w:keepNext/>
      <w:spacing w:before="200" w:after="0"/>
      <w:outlineLvl w:val="3"/>
    </w:pPr>
    <w:rPr>
      <w:rFonts w:asciiTheme="majorHAnsi" w:hAnsiTheme="majorHAnsi" w:eastAsiaTheme="majorEastAsia" w:cstheme="majorBidi"/>
      <w:bCs/>
      <w:i/>
      <w:color w:val="4f81bd" w:themeColor="accent1"/>
      <w:sz w:val="24"/>
      <w:szCs w:val="24"/>
    </w:rPr>
  </w:style>
  <w:style w:type="paragraph" w:styleId="659">
    <w:name w:val="Heading 5"/>
    <w:basedOn w:val="645"/>
    <w:next w:val="646"/>
    <w:uiPriority w:val="9"/>
    <w:unhideWhenUsed/>
    <w:qFormat/>
    <w:pPr>
      <w:keepLines/>
      <w:keepNext/>
      <w:spacing w:before="200" w:after="0"/>
      <w:outlineLvl w:val="4"/>
    </w:pPr>
    <w:rPr>
      <w:rFonts w:asciiTheme="majorHAnsi" w:hAnsiTheme="majorHAnsi" w:eastAsiaTheme="majorEastAsia" w:cstheme="majorBidi"/>
      <w:iCs/>
      <w:color w:val="4f81bd" w:themeColor="accent1"/>
      <w:sz w:val="24"/>
      <w:szCs w:val="24"/>
    </w:rPr>
  </w:style>
  <w:style w:type="paragraph" w:styleId="660">
    <w:name w:val="Heading 6"/>
    <w:basedOn w:val="645"/>
    <w:next w:val="646"/>
    <w:uiPriority w:val="9"/>
    <w:unhideWhenUsed/>
    <w:qFormat/>
    <w:pPr>
      <w:keepLines/>
      <w:keepNext/>
      <w:spacing w:before="200" w:after="0"/>
      <w:outlineLvl w:val="5"/>
    </w:pPr>
    <w:rPr>
      <w:rFonts w:asciiTheme="majorHAnsi" w:hAnsiTheme="majorHAnsi" w:eastAsiaTheme="majorEastAsia" w:cstheme="majorBidi"/>
      <w:color w:val="4f81bd" w:themeColor="accent1"/>
      <w:sz w:val="24"/>
      <w:szCs w:val="24"/>
    </w:rPr>
  </w:style>
  <w:style w:type="paragraph" w:styleId="661">
    <w:name w:val="Heading 7"/>
    <w:basedOn w:val="645"/>
    <w:next w:val="646"/>
    <w:uiPriority w:val="9"/>
    <w:unhideWhenUsed/>
    <w:qFormat/>
    <w:pPr>
      <w:keepLines/>
      <w:keepNext/>
      <w:spacing w:before="200" w:after="0"/>
      <w:outlineLvl w:val="6"/>
    </w:pPr>
    <w:rPr>
      <w:rFonts w:asciiTheme="majorHAnsi" w:hAnsiTheme="majorHAnsi" w:eastAsiaTheme="majorEastAsia" w:cstheme="majorBidi"/>
      <w:color w:val="4f81bd" w:themeColor="accent1"/>
      <w:sz w:val="24"/>
      <w:szCs w:val="24"/>
    </w:rPr>
  </w:style>
  <w:style w:type="paragraph" w:styleId="662">
    <w:name w:val="Heading 8"/>
    <w:basedOn w:val="645"/>
    <w:next w:val="646"/>
    <w:uiPriority w:val="9"/>
    <w:unhideWhenUsed/>
    <w:qFormat/>
    <w:pPr>
      <w:keepLines/>
      <w:keepNext/>
      <w:spacing w:before="200" w:after="0"/>
      <w:outlineLvl w:val="7"/>
    </w:pPr>
    <w:rPr>
      <w:rFonts w:asciiTheme="majorHAnsi" w:hAnsiTheme="majorHAnsi" w:eastAsiaTheme="majorEastAsia" w:cstheme="majorBidi"/>
      <w:color w:val="4f81bd" w:themeColor="accent1"/>
      <w:sz w:val="24"/>
      <w:szCs w:val="24"/>
    </w:rPr>
  </w:style>
  <w:style w:type="paragraph" w:styleId="663">
    <w:name w:val="Heading 9"/>
    <w:basedOn w:val="645"/>
    <w:next w:val="646"/>
    <w:uiPriority w:val="9"/>
    <w:unhideWhenUsed/>
    <w:qFormat/>
    <w:pPr>
      <w:keepLines/>
      <w:keepNext/>
      <w:spacing w:before="200" w:after="0"/>
      <w:outlineLvl w:val="8"/>
    </w:pPr>
    <w:rPr>
      <w:rFonts w:asciiTheme="majorHAnsi" w:hAnsiTheme="majorHAnsi" w:eastAsiaTheme="majorEastAsia" w:cstheme="majorBidi"/>
      <w:color w:val="4f81bd" w:themeColor="accent1"/>
      <w:sz w:val="24"/>
      <w:szCs w:val="24"/>
    </w:rPr>
  </w:style>
  <w:style w:type="paragraph" w:styleId="664">
    <w:name w:val="Block Text"/>
    <w:basedOn w:val="646"/>
    <w:next w:val="646"/>
    <w:uiPriority w:val="9"/>
    <w:unhideWhenUsed/>
    <w:qFormat/>
    <w:pPr>
      <w:ind w:left="480" w:right="480" w:firstLine="0"/>
      <w:spacing w:before="100" w:after="100"/>
    </w:pPr>
  </w:style>
  <w:style w:type="paragraph" w:styleId="665">
    <w:name w:val="footnote text"/>
    <w:basedOn w:val="645"/>
    <w:next w:val="665"/>
    <w:uiPriority w:val="9"/>
    <w:unhideWhenUsed/>
    <w:qFormat/>
  </w:style>
  <w:style w:type="character" w:styleId="666" w:default="1">
    <w:name w:val="Default Paragraph Font"/>
    <w:semiHidden/>
    <w:unhideWhenUsed/>
  </w:style>
  <w:style w:type="table" w:styleId="667" w:default="1">
    <w:name w:val="Table"/>
    <w:semiHidden/>
    <w:unhideWhenUsed/>
    <w:qFormat/>
    <w:tblPr>
      <w:tblInd w:w="0" w:type="dxa"/>
      <w:tblCellMar>
        <w:left w:w="108" w:type="dxa"/>
        <w:top w:w="0" w:type="dxa"/>
        <w:right w:w="108" w:type="dxa"/>
        <w:bottom w:w="0" w:type="dxa"/>
      </w:tblCellMar>
    </w:tblPr>
    <w:tblStylePr w:type="firstRow">
      <w:tblPr>
        <w:tblInd w:w="0" w:type="dxa"/>
      </w:tblPr>
      <w:trPr>
        <w:jc w:val="left"/>
      </w:trPr>
      <w:tcPr>
        <w:tcBorders>
          <w:bottom w:val="single" w:color="000000" w:sz="4" w:space="0"/>
        </w:tcBorders>
        <w:vAlign w:val="bottom"/>
      </w:tcPr>
    </w:tblStylePr>
  </w:style>
  <w:style w:type="paragraph" w:styleId="668" w:customStyle="1">
    <w:name w:val="Definition Term"/>
    <w:basedOn w:val="645"/>
    <w:next w:val="669"/>
    <w:pPr>
      <w:keepLines/>
      <w:keepNext/>
      <w:spacing w:after="0"/>
    </w:pPr>
    <w:rPr>
      <w:b/>
    </w:rPr>
  </w:style>
  <w:style w:type="paragraph" w:styleId="669" w:customStyle="1">
    <w:name w:val="Definition"/>
    <w:basedOn w:val="645"/>
  </w:style>
  <w:style w:type="paragraph" w:styleId="670">
    <w:name w:val="Caption"/>
    <w:basedOn w:val="645"/>
    <w:link w:val="675"/>
    <w:pPr>
      <w:spacing w:before="0" w:after="120"/>
    </w:pPr>
    <w:rPr>
      <w:i/>
    </w:rPr>
  </w:style>
  <w:style w:type="paragraph" w:styleId="671" w:customStyle="1">
    <w:name w:val="Table Caption"/>
    <w:basedOn w:val="670"/>
    <w:pPr>
      <w:keepNext/>
    </w:pPr>
  </w:style>
  <w:style w:type="paragraph" w:styleId="672" w:customStyle="1">
    <w:name w:val="Image Caption"/>
    <w:basedOn w:val="670"/>
  </w:style>
  <w:style w:type="paragraph" w:styleId="673" w:customStyle="1">
    <w:name w:val="Figure"/>
    <w:basedOn w:val="645"/>
  </w:style>
  <w:style w:type="paragraph" w:styleId="674" w:customStyle="1">
    <w:name w:val="Captioned Figure"/>
    <w:basedOn w:val="673"/>
    <w:pPr>
      <w:keepNext/>
    </w:pPr>
  </w:style>
  <w:style w:type="character" w:styleId="675" w:customStyle="1">
    <w:name w:val="Body Text Char"/>
    <w:basedOn w:val="666"/>
    <w:link w:val="646"/>
  </w:style>
  <w:style w:type="character" w:styleId="676" w:customStyle="1">
    <w:name w:val="Verbatim Char"/>
    <w:basedOn w:val="675"/>
    <w:rPr>
      <w:rFonts w:ascii="Consolas" w:hAnsi="Consolas"/>
      <w:sz w:val="22"/>
    </w:rPr>
  </w:style>
  <w:style w:type="character" w:styleId="677" w:customStyle="1">
    <w:name w:val="Section Number"/>
    <w:basedOn w:val="675"/>
  </w:style>
  <w:style w:type="character" w:styleId="678">
    <w:name w:val="footnote reference"/>
    <w:basedOn w:val="675"/>
    <w:rPr>
      <w:vertAlign w:val="superscript"/>
    </w:rPr>
  </w:style>
  <w:style w:type="character" w:styleId="679">
    <w:name w:val="Hyperlink"/>
    <w:basedOn w:val="675"/>
    <w:rPr>
      <w:color w:val="4f81bd" w:themeColor="accent1"/>
    </w:rPr>
  </w:style>
  <w:style w:type="paragraph" w:styleId="680">
    <w:name w:val="TOC Heading"/>
    <w:basedOn w:val="655"/>
    <w:next w:val="646"/>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681" w:customStyle="1">
    <w:name w:val="Source Code"/>
    <w:basedOn w:val="645"/>
    <w:link w:val="676"/>
    <w:pPr>
      <w:shd w:val="clear" w:color="auto" w:fill="f1f3f5"/>
    </w:pPr>
  </w:style>
  <w:style w:type="character" w:styleId="682" w:customStyle="1">
    <w:name w:val="KeywordTok"/>
    <w:basedOn w:val="676"/>
    <w:rPr>
      <w:color w:val="003b4f"/>
      <w:shd w:val="clear" w:color="auto" w:fill="f1f3f5"/>
    </w:rPr>
  </w:style>
  <w:style w:type="character" w:styleId="683" w:customStyle="1">
    <w:name w:val="DataTypeTok"/>
    <w:basedOn w:val="676"/>
    <w:rPr>
      <w:color w:val="ad0000"/>
      <w:shd w:val="clear" w:color="auto" w:fill="f1f3f5"/>
    </w:rPr>
  </w:style>
  <w:style w:type="character" w:styleId="684" w:customStyle="1">
    <w:name w:val="DecValTok"/>
    <w:basedOn w:val="676"/>
    <w:rPr>
      <w:color w:val="ad0000"/>
      <w:shd w:val="clear" w:color="auto" w:fill="f1f3f5"/>
    </w:rPr>
  </w:style>
  <w:style w:type="character" w:styleId="685" w:customStyle="1">
    <w:name w:val="BaseNTok"/>
    <w:basedOn w:val="676"/>
    <w:rPr>
      <w:color w:val="ad0000"/>
      <w:shd w:val="clear" w:color="auto" w:fill="f1f3f5"/>
    </w:rPr>
  </w:style>
  <w:style w:type="character" w:styleId="686" w:customStyle="1">
    <w:name w:val="FloatTok"/>
    <w:basedOn w:val="676"/>
    <w:rPr>
      <w:color w:val="ad0000"/>
      <w:shd w:val="clear" w:color="auto" w:fill="f1f3f5"/>
    </w:rPr>
  </w:style>
  <w:style w:type="character" w:styleId="687" w:customStyle="1">
    <w:name w:val="ConstantTok"/>
    <w:basedOn w:val="676"/>
    <w:rPr>
      <w:color w:val="8f5902"/>
      <w:shd w:val="clear" w:color="auto" w:fill="f1f3f5"/>
    </w:rPr>
  </w:style>
  <w:style w:type="character" w:styleId="688" w:customStyle="1">
    <w:name w:val="CharTok"/>
    <w:basedOn w:val="676"/>
    <w:rPr>
      <w:color w:val="20794d"/>
      <w:shd w:val="clear" w:color="auto" w:fill="f1f3f5"/>
    </w:rPr>
  </w:style>
  <w:style w:type="character" w:styleId="689" w:customStyle="1">
    <w:name w:val="SpecialCharTok"/>
    <w:basedOn w:val="676"/>
    <w:rPr>
      <w:color w:val="5e5e5e"/>
      <w:shd w:val="clear" w:color="auto" w:fill="f1f3f5"/>
    </w:rPr>
  </w:style>
  <w:style w:type="character" w:styleId="690" w:customStyle="1">
    <w:name w:val="StringTok"/>
    <w:basedOn w:val="676"/>
    <w:rPr>
      <w:color w:val="20794d"/>
      <w:shd w:val="clear" w:color="auto" w:fill="f1f3f5"/>
    </w:rPr>
  </w:style>
  <w:style w:type="character" w:styleId="691" w:customStyle="1">
    <w:name w:val="VerbatimStringTok"/>
    <w:basedOn w:val="676"/>
    <w:rPr>
      <w:color w:val="20794d"/>
      <w:shd w:val="clear" w:color="auto" w:fill="f1f3f5"/>
    </w:rPr>
  </w:style>
  <w:style w:type="character" w:styleId="692" w:customStyle="1">
    <w:name w:val="SpecialStringTok"/>
    <w:basedOn w:val="676"/>
    <w:rPr>
      <w:color w:val="20794d"/>
      <w:shd w:val="clear" w:color="auto" w:fill="f1f3f5"/>
    </w:rPr>
  </w:style>
  <w:style w:type="character" w:styleId="693" w:customStyle="1">
    <w:name w:val="ImportTok"/>
    <w:basedOn w:val="676"/>
    <w:rPr>
      <w:color w:val="00769e"/>
      <w:shd w:val="clear" w:color="auto" w:fill="f1f3f5"/>
    </w:rPr>
  </w:style>
  <w:style w:type="character" w:styleId="694" w:customStyle="1">
    <w:name w:val="CommentTok"/>
    <w:basedOn w:val="676"/>
    <w:rPr>
      <w:color w:val="5e5e5e"/>
      <w:shd w:val="clear" w:color="auto" w:fill="f1f3f5"/>
    </w:rPr>
  </w:style>
  <w:style w:type="character" w:styleId="695" w:customStyle="1">
    <w:name w:val="DocumentationTok"/>
    <w:basedOn w:val="676"/>
    <w:rPr>
      <w:i/>
      <w:color w:val="5e5e5e"/>
      <w:shd w:val="clear" w:color="auto" w:fill="f1f3f5"/>
    </w:rPr>
  </w:style>
  <w:style w:type="character" w:styleId="696" w:customStyle="1">
    <w:name w:val="AnnotationTok"/>
    <w:basedOn w:val="676"/>
    <w:rPr>
      <w:color w:val="5e5e5e"/>
      <w:shd w:val="clear" w:color="auto" w:fill="f1f3f5"/>
    </w:rPr>
  </w:style>
  <w:style w:type="character" w:styleId="697" w:customStyle="1">
    <w:name w:val="CommentVarTok"/>
    <w:basedOn w:val="676"/>
    <w:rPr>
      <w:i/>
      <w:color w:val="5e5e5e"/>
      <w:shd w:val="clear" w:color="auto" w:fill="f1f3f5"/>
    </w:rPr>
  </w:style>
  <w:style w:type="character" w:styleId="698" w:customStyle="1">
    <w:name w:val="OtherTok"/>
    <w:basedOn w:val="676"/>
    <w:rPr>
      <w:color w:val="003b4f"/>
      <w:shd w:val="clear" w:color="auto" w:fill="f1f3f5"/>
    </w:rPr>
  </w:style>
  <w:style w:type="character" w:styleId="699" w:customStyle="1">
    <w:name w:val="FunctionTok"/>
    <w:basedOn w:val="676"/>
    <w:rPr>
      <w:color w:val="4758ab"/>
      <w:shd w:val="clear" w:color="auto" w:fill="f1f3f5"/>
    </w:rPr>
  </w:style>
  <w:style w:type="character" w:styleId="700" w:customStyle="1">
    <w:name w:val="VariableTok"/>
    <w:basedOn w:val="676"/>
    <w:rPr>
      <w:color w:val="111111"/>
      <w:shd w:val="clear" w:color="auto" w:fill="f1f3f5"/>
    </w:rPr>
  </w:style>
  <w:style w:type="character" w:styleId="701" w:customStyle="1">
    <w:name w:val="ControlFlowTok"/>
    <w:basedOn w:val="676"/>
    <w:rPr>
      <w:color w:val="003b4f"/>
      <w:shd w:val="clear" w:color="auto" w:fill="f1f3f5"/>
    </w:rPr>
  </w:style>
  <w:style w:type="character" w:styleId="702" w:customStyle="1">
    <w:name w:val="OperatorTok"/>
    <w:basedOn w:val="676"/>
    <w:rPr>
      <w:color w:val="5e5e5e"/>
      <w:shd w:val="clear" w:color="auto" w:fill="f1f3f5"/>
    </w:rPr>
  </w:style>
  <w:style w:type="character" w:styleId="703" w:customStyle="1">
    <w:name w:val="BuiltInTok"/>
    <w:basedOn w:val="676"/>
    <w:rPr>
      <w:color w:val="003b4f"/>
      <w:shd w:val="clear" w:color="auto" w:fill="f1f3f5"/>
    </w:rPr>
  </w:style>
  <w:style w:type="character" w:styleId="704" w:customStyle="1">
    <w:name w:val="ExtensionTok"/>
    <w:basedOn w:val="676"/>
    <w:rPr>
      <w:color w:val="003b4f"/>
      <w:shd w:val="clear" w:color="auto" w:fill="f1f3f5"/>
    </w:rPr>
  </w:style>
  <w:style w:type="character" w:styleId="705" w:customStyle="1">
    <w:name w:val="PreprocessorTok"/>
    <w:basedOn w:val="676"/>
    <w:rPr>
      <w:color w:val="ad0000"/>
      <w:shd w:val="clear" w:color="auto" w:fill="f1f3f5"/>
    </w:rPr>
  </w:style>
  <w:style w:type="character" w:styleId="706" w:customStyle="1">
    <w:name w:val="AttributeTok"/>
    <w:basedOn w:val="676"/>
    <w:rPr>
      <w:color w:val="657422"/>
      <w:shd w:val="clear" w:color="auto" w:fill="f1f3f5"/>
    </w:rPr>
  </w:style>
  <w:style w:type="character" w:styleId="707" w:customStyle="1">
    <w:name w:val="RegionMarkerTok"/>
    <w:basedOn w:val="676"/>
    <w:rPr>
      <w:color w:val="003b4f"/>
      <w:shd w:val="clear" w:color="auto" w:fill="f1f3f5"/>
    </w:rPr>
  </w:style>
  <w:style w:type="character" w:styleId="708" w:customStyle="1">
    <w:name w:val="InformationTok"/>
    <w:basedOn w:val="676"/>
    <w:rPr>
      <w:color w:val="5e5e5e"/>
      <w:shd w:val="clear" w:color="auto" w:fill="f1f3f5"/>
    </w:rPr>
  </w:style>
  <w:style w:type="character" w:styleId="709" w:customStyle="1">
    <w:name w:val="WarningTok"/>
    <w:basedOn w:val="676"/>
    <w:rPr>
      <w:i/>
      <w:color w:val="5e5e5e"/>
      <w:shd w:val="clear" w:color="auto" w:fill="f1f3f5"/>
    </w:rPr>
  </w:style>
  <w:style w:type="character" w:styleId="710" w:customStyle="1">
    <w:name w:val="AlertTok"/>
    <w:basedOn w:val="676"/>
    <w:rPr>
      <w:color w:val="ad0000"/>
      <w:shd w:val="clear" w:color="auto" w:fill="f1f3f5"/>
    </w:rPr>
  </w:style>
  <w:style w:type="character" w:styleId="711" w:customStyle="1">
    <w:name w:val="ErrorTok"/>
    <w:basedOn w:val="676"/>
    <w:rPr>
      <w:color w:val="ad0000"/>
      <w:shd w:val="clear" w:color="auto" w:fill="f1f3f5"/>
    </w:rPr>
  </w:style>
  <w:style w:type="character" w:styleId="712" w:customStyle="1">
    <w:name w:val="NormalTok"/>
    <w:basedOn w:val="676"/>
    <w:rPr>
      <w:color w:val="003b4f"/>
      <w:shd w:val="clear" w:color="auto" w:fill="f1f3f5"/>
    </w:rPr>
  </w:style>
  <w:style w:type="numbering" w:styleId="100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 120 General Education Assessment</dc:title>
  <dc:creator>Department of Economics</dc:creator>
  <cp:keywords/>
  <cp:revision>1</cp:revision>
  <dcterms:created xsi:type="dcterms:W3CDTF">2023-10-18T19:12:54Z</dcterms:created>
  <dcterms:modified xsi:type="dcterms:W3CDTF">2023-10-18T19:16:55Z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2023-2024</vt:lpwstr>
  </property>
  <property fmtid="{D5CDD505-2E9C-101B-9397-08002B2CF9AE}" pid="10" name="toc-title">
    <vt:lpwstr>Table of contents</vt:lpwstr>
  </property>
</Properties>
</file>