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3244" w14:textId="77777777" w:rsidR="00DC6777" w:rsidRPr="00DC6777" w:rsidRDefault="00DC6777" w:rsidP="00DC6777">
      <w:pPr>
        <w:rPr>
          <w:b/>
          <w:bCs/>
        </w:rPr>
      </w:pPr>
      <w:r w:rsidRPr="00DC6777">
        <w:rPr>
          <w:b/>
          <w:bCs/>
        </w:rPr>
        <w:t>Video 1 — How My eBay Research Developed</w:t>
      </w:r>
    </w:p>
    <w:p w14:paraId="2AD21D8A" w14:textId="77777777" w:rsidR="00DC6777" w:rsidRPr="00DC6777" w:rsidRDefault="00DC6777" w:rsidP="00DC6777">
      <w:pPr>
        <w:rPr>
          <w:b/>
          <w:bCs/>
        </w:rPr>
      </w:pPr>
      <w:r w:rsidRPr="00DC6777">
        <w:rPr>
          <w:b/>
          <w:bCs/>
        </w:rPr>
        <w:t>Opening and my original position</w:t>
      </w:r>
    </w:p>
    <w:p w14:paraId="59C411DF" w14:textId="77777777" w:rsidR="00DC6777" w:rsidRPr="00DC6777" w:rsidRDefault="00DC6777" w:rsidP="00DC6777">
      <w:r w:rsidRPr="00DC6777">
        <w:rPr>
          <w:b/>
          <w:bCs/>
        </w:rPr>
        <w:t>Show:</w:t>
      </w:r>
      <w:r w:rsidRPr="00DC6777">
        <w:t xml:space="preserve"> Research Evolution PDF, followed by your unchanged Edition A.</w:t>
      </w:r>
    </w:p>
    <w:p w14:paraId="51EE7094" w14:textId="77777777" w:rsidR="00DC6777" w:rsidRPr="00DC6777" w:rsidRDefault="00DC6777" w:rsidP="00DC6777">
      <w:r w:rsidRPr="00DC6777">
        <w:t>In this video, I’m going to explain how my eBay research changed from Edition A to Edition B. I’ll focus on what I learned, which assumptions were challenged, and how those changes affected my recommendation.</w:t>
      </w:r>
    </w:p>
    <w:p w14:paraId="4361AC11" w14:textId="77777777" w:rsidR="00DC6777" w:rsidRPr="00DC6777" w:rsidRDefault="00DC6777" w:rsidP="00DC6777">
      <w:r w:rsidRPr="00DC6777">
        <w:t>The analysis is for a buy-side investment committee at a fund that doesn’t currently own eBay. The question is whether the fund should start a position, put the company on watch and wait, or decide not to invest. I’m looking at that decision over a three-to-five-year investment horizon.</w:t>
      </w:r>
    </w:p>
    <w:p w14:paraId="1512DAE6" w14:textId="77777777" w:rsidR="00DC6777" w:rsidRPr="00DC6777" w:rsidRDefault="00DC6777" w:rsidP="00DC6777">
      <w:r w:rsidRPr="00DC6777">
        <w:t>My original recommendation in Edition A was to watch and defer. At that point, I still had questions about whether eBay’s growth was sustainable, how much of its reported cash generation should be treated as normal, and what price would make the investment attractive.</w:t>
      </w:r>
    </w:p>
    <w:p w14:paraId="0F64716A" w14:textId="77777777" w:rsidR="00DC6777" w:rsidRPr="00DC6777" w:rsidRDefault="00DC6777" w:rsidP="00DC6777">
      <w:r w:rsidRPr="00DC6777">
        <w:t>I’ve kept that original version unchanged because I want to show what I thought at the beginning. Going back and rewriting it using what I learned later would make it harder to see how the research actually developed.</w:t>
      </w:r>
    </w:p>
    <w:p w14:paraId="1B5FAA67" w14:textId="77777777" w:rsidR="00DC6777" w:rsidRPr="00DC6777" w:rsidRDefault="00DC6777" w:rsidP="00DC6777">
      <w:r w:rsidRPr="00DC6777">
        <w:t>Edition B uses September 16, 2026 as its valuation date. That’s the date used for the later analysis, but it doesn’t change the original submission or what I knew when I wrote it.</w:t>
      </w:r>
    </w:p>
    <w:p w14:paraId="4019026A" w14:textId="77777777" w:rsidR="00DC6777" w:rsidRPr="00DC6777" w:rsidRDefault="00DC6777" w:rsidP="00DC6777">
      <w:r w:rsidRPr="00DC6777">
        <w:rPr>
          <w:b/>
          <w:bCs/>
        </w:rPr>
        <w:t>Show:</w:t>
      </w:r>
      <w:r w:rsidRPr="00DC6777">
        <w:t xml:space="preserve"> Your actual Brightspace receipt and original submitted PDF, if available.</w:t>
      </w:r>
    </w:p>
    <w:p w14:paraId="1A7E83E9" w14:textId="77777777" w:rsidR="00DC6777" w:rsidRPr="00DC6777" w:rsidRDefault="00DC6777" w:rsidP="00DC6777">
      <w:r w:rsidRPr="00DC6777">
        <w:rPr>
          <w:b/>
          <w:bCs/>
        </w:rPr>
        <w:t>If those are unavailable, also say:</w:t>
      </w:r>
    </w:p>
    <w:p w14:paraId="02974E9A" w14:textId="77777777" w:rsidR="00DC6777" w:rsidRPr="00DC6777" w:rsidRDefault="00DC6777" w:rsidP="00DC6777">
      <w:r w:rsidRPr="00DC6777">
        <w:t>The repository contains my baseline Markdown file, but this package doesn’t yet include the separately authenticated original PDF and Brightspace receipt. I want to be clear about that distinction.</w:t>
      </w:r>
    </w:p>
    <w:p w14:paraId="01AF0BF8" w14:textId="77777777" w:rsidR="00DC6777" w:rsidRPr="00DC6777" w:rsidRDefault="00DC6777" w:rsidP="00DC6777">
      <w:pPr>
        <w:rPr>
          <w:b/>
          <w:bCs/>
        </w:rPr>
      </w:pPr>
      <w:r w:rsidRPr="00DC6777">
        <w:rPr>
          <w:b/>
          <w:bCs/>
        </w:rPr>
        <w:t>What changed when I looked more closely at the sources</w:t>
      </w:r>
    </w:p>
    <w:p w14:paraId="336AC80B" w14:textId="77777777" w:rsidR="00DC6777" w:rsidRPr="00DC6777" w:rsidRDefault="00DC6777" w:rsidP="00DC6777">
      <w:r w:rsidRPr="00DC6777">
        <w:rPr>
          <w:b/>
          <w:bCs/>
        </w:rPr>
        <w:t>Show:</w:t>
      </w:r>
      <w:r w:rsidRPr="00DC6777">
        <w:t xml:space="preserve"> Base-year normalization catalog and source ledger. Open the Q2 eBay filing to the relevant accounting notes and balance sheet.</w:t>
      </w:r>
    </w:p>
    <w:p w14:paraId="22891926" w14:textId="77777777" w:rsidR="00DC6777" w:rsidRPr="00DC6777" w:rsidRDefault="00DC6777" w:rsidP="00DC6777">
      <w:r w:rsidRPr="00DC6777">
        <w:t>One of the biggest improvements was getting more specific about what the numbers actually represented. Having a number from a filing wasn’t enough. I also needed to know which date it belonged to, which accounting basis it used, and whether it was appropriate for the model.</w:t>
      </w:r>
    </w:p>
    <w:p w14:paraId="009679C3" w14:textId="77777777" w:rsidR="00DC6777" w:rsidRPr="00DC6777" w:rsidRDefault="00DC6777" w:rsidP="00DC6777">
      <w:r w:rsidRPr="00DC6777">
        <w:lastRenderedPageBreak/>
        <w:t>Property and equipment is one example. The original December 2025 figure was 1,338 million dollars. The software-accounting adoption reduced that amount by 173 million, leaving an adjusted balance of 1,165 million dollars.</w:t>
      </w:r>
    </w:p>
    <w:p w14:paraId="27C9CEBC" w14:textId="77777777" w:rsidR="00DC6777" w:rsidRPr="00DC6777" w:rsidRDefault="00DC6777" w:rsidP="00DC6777">
      <w:r w:rsidRPr="00DC6777">
        <w:t>That matters because using the original figure in one part of the model and the adjusted figure somewhere else would create an inconsistency, even if both numbers came from company filings.</w:t>
      </w:r>
    </w:p>
    <w:p w14:paraId="040CD22D" w14:textId="77777777" w:rsidR="00DC6777" w:rsidRPr="00DC6777" w:rsidRDefault="00DC6777" w:rsidP="00DC6777">
      <w:r w:rsidRPr="00DC6777">
        <w:t>The equity balances needed the same care. Adjusted December equity was 4,483 million dollars, while June equity was 4,665 million. Those balances are from different dates. I can’t just subtract one from the other and call the difference the accounting adjustment, because the business also operated during the months between them.</w:t>
      </w:r>
    </w:p>
    <w:p w14:paraId="7AE7B916" w14:textId="77777777" w:rsidR="00DC6777" w:rsidRPr="00DC6777" w:rsidRDefault="00DC6777" w:rsidP="00DC6777">
      <w:r w:rsidRPr="00DC6777">
        <w:t>I also had to separate reported operating profit from the adjustments I was proposing for unusual expenses. The normalization catalog identifies specific restructuring and legal charges that are added back to the original annual base.</w:t>
      </w:r>
    </w:p>
    <w:p w14:paraId="26B4740C" w14:textId="77777777" w:rsidR="00DC6777" w:rsidRPr="00DC6777" w:rsidRDefault="00DC6777" w:rsidP="00DC6777">
      <w:r w:rsidRPr="00DC6777">
        <w:t>That involves a judgment about whether those costs are likely to recur. Calling an expense unusual doesn’t automatically mean it should disappear from the forecast.</w:t>
      </w:r>
    </w:p>
    <w:p w14:paraId="73D4B391" w14:textId="77777777" w:rsidR="00DC6777" w:rsidRPr="00DC6777" w:rsidRDefault="00DC6777" w:rsidP="00DC6777">
      <w:r w:rsidRPr="00DC6777">
        <w:t>The forecast uses updated first-half operating ratios, so those same charges aren’t added back again in the forecast. Otherwise, I could end up giving the valuation the benefit of the same adjustment twice.</w:t>
      </w:r>
    </w:p>
    <w:p w14:paraId="41F9BF41" w14:textId="77777777" w:rsidR="00DC6777" w:rsidRPr="00DC6777" w:rsidRDefault="00DC6777" w:rsidP="00DC6777">
      <w:r w:rsidRPr="00DC6777">
        <w:t>Share count was another important issue. The annual diluted share count used for EPS is a weighted average over a period. It isn’t automatically the number of diluted shares outstanding on my valuation date.</w:t>
      </w:r>
    </w:p>
    <w:p w14:paraId="252B0AF0" w14:textId="77777777" w:rsidR="00DC6777" w:rsidRPr="00DC6777" w:rsidRDefault="00DC6777" w:rsidP="00DC6777">
      <w:r w:rsidRPr="00DC6777">
        <w:t>The current model combines 445 million common shares with a ten-million award increment, giving a denominator of 455 million shares. I’ve labeled that as a diluted proxy because it isn’t a verified September fully diluted count.</w:t>
      </w:r>
    </w:p>
    <w:p w14:paraId="7F4F695B" w14:textId="77777777" w:rsidR="00DC6777" w:rsidRPr="00DC6777" w:rsidRDefault="00DC6777" w:rsidP="00DC6777">
      <w:r w:rsidRPr="00DC6777">
        <w:t>That qualification matters. The share count is the denominator in the per-share valuation, so uncertainty in that number affects the result that an investor sees.</w:t>
      </w:r>
    </w:p>
    <w:p w14:paraId="2489D5E6" w14:textId="77777777" w:rsidR="00DC6777" w:rsidRPr="00DC6777" w:rsidRDefault="00DC6777" w:rsidP="00DC6777">
      <w:pPr>
        <w:rPr>
          <w:b/>
          <w:bCs/>
        </w:rPr>
      </w:pPr>
      <w:r w:rsidRPr="00DC6777">
        <w:rPr>
          <w:b/>
          <w:bCs/>
        </w:rPr>
        <w:t>How the assumptions were challenged</w:t>
      </w:r>
    </w:p>
    <w:p w14:paraId="56DFAC8C" w14:textId="77777777" w:rsidR="00DC6777" w:rsidRPr="00DC6777" w:rsidRDefault="00DC6777" w:rsidP="00DC6777">
      <w:r w:rsidRPr="00DC6777">
        <w:rPr>
          <w:b/>
          <w:bCs/>
        </w:rPr>
        <w:t>Show:</w:t>
      </w:r>
      <w:r w:rsidRPr="00DC6777">
        <w:t xml:space="preserve"> Driver challenge register, especially the actual recorded partner evidence. Then show the original Lab 10 and Lab 11 notes.</w:t>
      </w:r>
    </w:p>
    <w:p w14:paraId="5DEB6873" w14:textId="77777777" w:rsidR="00DC6777" w:rsidRPr="00DC6777" w:rsidRDefault="00DC6777" w:rsidP="00DC6777">
      <w:r w:rsidRPr="00DC6777">
        <w:t>One of the useful questions from my earlier lab work came from Ethan. He challenged why I was assuming four-percent revenue growth would continue when the historical growth rates had varied.</w:t>
      </w:r>
    </w:p>
    <w:p w14:paraId="2B12EBB4" w14:textId="77777777" w:rsidR="00DC6777" w:rsidRPr="00DC6777" w:rsidRDefault="00DC6777" w:rsidP="00DC6777">
      <w:r w:rsidRPr="00DC6777">
        <w:lastRenderedPageBreak/>
        <w:t>That question made me look more closely at what was actually driving revenue. A single growth percentage is easy to put into a model, but it doesn’t explain what has to happen in the business for that growth to occur.</w:t>
      </w:r>
    </w:p>
    <w:p w14:paraId="0FE92FC3" w14:textId="77777777" w:rsidR="00DC6777" w:rsidRPr="00DC6777" w:rsidRDefault="00DC6777" w:rsidP="00DC6777">
      <w:r w:rsidRPr="00DC6777">
        <w:t>The integrated model separates GMV, which is the value of merchandise sold through the marketplace, from marketplace and advertising yields. That helps distinguish growth in marketplace activity from changes in how much revenue eBay earns from that activity.</w:t>
      </w:r>
    </w:p>
    <w:p w14:paraId="7FD9F75F" w14:textId="77777777" w:rsidR="00DC6777" w:rsidRPr="00DC6777" w:rsidRDefault="00DC6777" w:rsidP="00DC6777">
      <w:r w:rsidRPr="00DC6777">
        <w:t>It also means that four-percent revenue growth doesn’t, by itself, justify assuming four-percent GMV growth. Those are different measures, and I need a reason for each assumption.</w:t>
      </w:r>
    </w:p>
    <w:p w14:paraId="67F3E5CE" w14:textId="77777777" w:rsidR="00DC6777" w:rsidRPr="00DC6777" w:rsidRDefault="00DC6777" w:rsidP="00DC6777">
      <w:r w:rsidRPr="00DC6777">
        <w:t>The base GMV growth path is four percent, four percent, three and a half percent, three percent, and three percent across the five forecast years.</w:t>
      </w:r>
    </w:p>
    <w:p w14:paraId="12C3F810" w14:textId="77777777" w:rsidR="00DC6777" w:rsidRPr="00DC6777" w:rsidRDefault="00DC6777" w:rsidP="00DC6777">
      <w:r w:rsidRPr="00DC6777">
        <w:t>For advertising yield, the model assumes increases of three, two, and one basis points of GMV in the first three years, followed by no further increase.</w:t>
      </w:r>
    </w:p>
    <w:p w14:paraId="03104AB1" w14:textId="77777777" w:rsidR="00DC6777" w:rsidRPr="00DC6777" w:rsidRDefault="00DC6777" w:rsidP="00DC6777">
      <w:r w:rsidRPr="00DC6777">
        <w:t>Those are scenario assumptions. They aren’t company guidance, and I don’t want to present them as if eBay has promised those results.</w:t>
      </w:r>
    </w:p>
    <w:p w14:paraId="230E29B7" w14:textId="77777777" w:rsidR="00DC6777" w:rsidRPr="00DC6777" w:rsidRDefault="00DC6777" w:rsidP="00DC6777">
      <w:r w:rsidRPr="00DC6777">
        <w:t>Evidence that could change those assumptions includes comparable marketplace volume trends, seller participation, the returns sellers get from advertising, and the cost of supporting that activity.</w:t>
      </w:r>
    </w:p>
    <w:p w14:paraId="71631AE9" w14:textId="77777777" w:rsidR="00DC6777" w:rsidRPr="00DC6777" w:rsidRDefault="00DC6777" w:rsidP="00DC6777">
      <w:r w:rsidRPr="00DC6777">
        <w:t>I also want to be accurate about Ethan’s contribution. The record credits his actual question from the earlier lab. It doesn’t claim that he reviewed or approved this new application.</w:t>
      </w:r>
    </w:p>
    <w:p w14:paraId="020C4DCA" w14:textId="77777777" w:rsidR="00DC6777" w:rsidRPr="00DC6777" w:rsidRDefault="00DC6777" w:rsidP="00DC6777">
      <w:r w:rsidRPr="00DC6777">
        <w:t>For each major driver, I’ve tried to record four things: the value I used, the basis for it, the strongest challenge to it, and the evidence that would make me change it. That makes the assumptions easier to defend—and easier to revise if the evidence goes against them.</w:t>
      </w:r>
    </w:p>
    <w:p w14:paraId="2D10FCA6" w14:textId="77777777" w:rsidR="00DC6777" w:rsidRPr="00DC6777" w:rsidRDefault="00DC6777" w:rsidP="00DC6777">
      <w:pPr>
        <w:rPr>
          <w:b/>
          <w:bCs/>
        </w:rPr>
      </w:pPr>
      <w:r w:rsidRPr="00DC6777">
        <w:rPr>
          <w:b/>
          <w:bCs/>
        </w:rPr>
        <w:t>Where AI helped, and what still needed checking</w:t>
      </w:r>
    </w:p>
    <w:p w14:paraId="7FB943F8" w14:textId="77777777" w:rsidR="00DC6777" w:rsidRPr="00DC6777" w:rsidRDefault="00DC6777" w:rsidP="00DC6777">
      <w:r w:rsidRPr="00DC6777">
        <w:rPr>
          <w:b/>
          <w:bCs/>
        </w:rPr>
        <w:t>Show:</w:t>
      </w:r>
      <w:r w:rsidRPr="00DC6777">
        <w:t xml:space="preserve"> AI-use and output-check record, followed by the share-count row and the filing’s cover page and Note 2.</w:t>
      </w:r>
    </w:p>
    <w:p w14:paraId="017185DF" w14:textId="77777777" w:rsidR="00DC6777" w:rsidRPr="00DC6777" w:rsidRDefault="00DC6777" w:rsidP="00DC6777">
      <w:r w:rsidRPr="00DC6777">
        <w:t>AI helped with research, coding, validation and writing, including the preparation of this script. It helped organize the work and implement the model, but the financial definitions still needed to be checked against the underlying evidence.</w:t>
      </w:r>
    </w:p>
    <w:p w14:paraId="7B296A64" w14:textId="77777777" w:rsidR="00DC6777" w:rsidRPr="00DC6777" w:rsidRDefault="00DC6777" w:rsidP="00DC6777">
      <w:r w:rsidRPr="00DC6777">
        <w:t>The share-count issue is a useful example. An AI-assisted output was qualified because annual diluted shares were being used as the valuation denominator.</w:t>
      </w:r>
    </w:p>
    <w:p w14:paraId="7EE368E0" w14:textId="77777777" w:rsidR="00DC6777" w:rsidRPr="00DC6777" w:rsidRDefault="00DC6777" w:rsidP="00DC6777">
      <w:r w:rsidRPr="00DC6777">
        <w:lastRenderedPageBreak/>
        <w:t>When I compared that treatment with the filing’s definition, the problem became clearer. The annual diluted figure is a weighted average, while the later common-share disclosure refers to shares at a particular date. They don’t measure exactly the same thing.</w:t>
      </w:r>
    </w:p>
    <w:p w14:paraId="753B49FD" w14:textId="77777777" w:rsidR="00DC6777" w:rsidRPr="00DC6777" w:rsidRDefault="00DC6777" w:rsidP="00DC6777">
      <w:r w:rsidRPr="00DC6777">
        <w:t>The revised model uses an explicitly labeled diluted proxy and keeps the unresolved timing issue visible. That is more accurate than presenting the denominator as a verified valuation-date share count.</w:t>
      </w:r>
    </w:p>
    <w:p w14:paraId="7E926F69" w14:textId="77777777" w:rsidR="00DC6777" w:rsidRPr="00DC6777" w:rsidRDefault="00DC6777" w:rsidP="00DC6777">
      <w:r w:rsidRPr="00DC6777">
        <w:t>The reason for qualifying the output comes from the filing definitions. Getting AI to agree with a number wouldn’t independently verify it.</w:t>
      </w:r>
    </w:p>
    <w:p w14:paraId="52C8FCC4" w14:textId="77777777" w:rsidR="00DC6777" w:rsidRPr="00DC6777" w:rsidRDefault="00DC6777" w:rsidP="00DC6777">
      <w:r w:rsidRPr="00DC6777">
        <w:t>I’m still responsible for deciding whether the inputs make sense and whether the model supports the investment recommendation. AI can help produce and challenge the analysis, but I need to understand the result well enough to explain it.</w:t>
      </w:r>
    </w:p>
    <w:p w14:paraId="0395BB28" w14:textId="77777777" w:rsidR="00DC6777" w:rsidRPr="00DC6777" w:rsidRDefault="00DC6777" w:rsidP="00DC6777">
      <w:r w:rsidRPr="00DC6777">
        <w:t>The AI-use record also identifies the tool surface used without claiming a specific deployed model version that wasn’t retained in the records.</w:t>
      </w:r>
    </w:p>
    <w:p w14:paraId="223999BE" w14:textId="77777777" w:rsidR="00DC6777" w:rsidRPr="00DC6777" w:rsidRDefault="00DC6777" w:rsidP="00DC6777">
      <w:pPr>
        <w:rPr>
          <w:b/>
          <w:bCs/>
        </w:rPr>
      </w:pPr>
      <w:r w:rsidRPr="00DC6777">
        <w:rPr>
          <w:b/>
          <w:bCs/>
        </w:rPr>
        <w:t>What Edition B changed about the decision</w:t>
      </w:r>
    </w:p>
    <w:p w14:paraId="16CBC7F2" w14:textId="77777777" w:rsidR="00DC6777" w:rsidRPr="00DC6777" w:rsidRDefault="00DC6777" w:rsidP="00DC6777">
      <w:r w:rsidRPr="00DC6777">
        <w:rPr>
          <w:b/>
          <w:bCs/>
        </w:rPr>
        <w:t>Show:</w:t>
      </w:r>
      <w:r w:rsidRPr="00DC6777">
        <w:t xml:space="preserve"> The A-to-B comparison, Edition B, and the committee memo.</w:t>
      </w:r>
    </w:p>
    <w:p w14:paraId="22C2520D" w14:textId="77777777" w:rsidR="00DC6777" w:rsidRPr="00DC6777" w:rsidRDefault="00DC6777" w:rsidP="00DC6777">
      <w:r w:rsidRPr="00DC6777">
        <w:t>My final action is still watch and defer, but I now have a more developed explanation for that decision.</w:t>
      </w:r>
    </w:p>
    <w:p w14:paraId="13D28CF9" w14:textId="77777777" w:rsidR="00DC6777" w:rsidRPr="00DC6777" w:rsidRDefault="00DC6777" w:rsidP="00DC6777">
      <w:r w:rsidRPr="00DC6777">
        <w:t>The provisional valuation range is approximately 31 to 81 dollars per share, compared with the September 16 market price of 109 dollars and 17 cents.</w:t>
      </w:r>
    </w:p>
    <w:p w14:paraId="0F76F48B" w14:textId="77777777" w:rsidR="00DC6777" w:rsidRPr="00DC6777" w:rsidRDefault="00DC6777" w:rsidP="00DC6777">
      <w:r w:rsidRPr="00DC6777">
        <w:t>That range comes from conditional scenarios. It isn’t a statistical confidence interval, and I’m not saying there is a calculated probability that the true value must fall between those two numbers.</w:t>
      </w:r>
    </w:p>
    <w:p w14:paraId="619021EE" w14:textId="77777777" w:rsidR="00DC6777" w:rsidRPr="00DC6777" w:rsidRDefault="00DC6777" w:rsidP="00DC6777">
      <w:r w:rsidRPr="00DC6777">
        <w:t>What the range does show is how the valuation changes under the assumptions used in the analysis. It gives the committee something more useful to examine than a single precise-looking price target.</w:t>
      </w:r>
    </w:p>
    <w:p w14:paraId="71729275" w14:textId="77777777" w:rsidR="00DC6777" w:rsidRPr="00DC6777" w:rsidRDefault="00DC6777" w:rsidP="00DC6777">
      <w:r w:rsidRPr="00DC6777">
        <w:t>The research also helped separate where the changes came from. Course instructions determined the required modeling architecture. My source research and judgment shaped how I interpreted the numbers. Ethan’s earlier challenge brought attention to the growth assumption, and AI helped implement and challenge the model.</w:t>
      </w:r>
    </w:p>
    <w:p w14:paraId="53697B07" w14:textId="77777777" w:rsidR="00DC6777" w:rsidRPr="00DC6777" w:rsidRDefault="00DC6777" w:rsidP="00DC6777">
      <w:r w:rsidRPr="00DC6777">
        <w:t>I don’t want to attribute every improvement to AI, because the sources, course requirements and human challenges each played a different role.</w:t>
      </w:r>
    </w:p>
    <w:p w14:paraId="10A1A45F" w14:textId="77777777" w:rsidR="00DC6777" w:rsidRPr="00DC6777" w:rsidRDefault="00DC6777" w:rsidP="00DC6777">
      <w:r w:rsidRPr="00DC6777">
        <w:lastRenderedPageBreak/>
        <w:t>There are still important limitations. The September cash balance is synthetic rather than a directly reported balance for that date. Acquisition accounting remains provisional, and dilution is estimated.</w:t>
      </w:r>
    </w:p>
    <w:p w14:paraId="242B8869" w14:textId="77777777" w:rsidR="00DC6777" w:rsidRPr="00DC6777" w:rsidRDefault="00DC6777" w:rsidP="00DC6777">
      <w:r w:rsidRPr="00DC6777">
        <w:t>Those limitations affect how much confidence I can place in the valuation. They need to stay visible when the committee considers the result.</w:t>
      </w:r>
    </w:p>
    <w:p w14:paraId="351CEAF4" w14:textId="77777777" w:rsidR="00DC6777" w:rsidRPr="00DC6777" w:rsidRDefault="00DC6777" w:rsidP="00DC6777">
      <w:r w:rsidRPr="00DC6777">
        <w:t>Although the recommendation hasn’t changed, the reasoning behind it has developed. Edition A identified questions I needed to answer. Edition B connects those questions to operating assumptions, valuation scenarios and specific evidence gaps.</w:t>
      </w:r>
    </w:p>
    <w:p w14:paraId="316E5F12" w14:textId="77777777" w:rsidR="00DC6777" w:rsidRPr="00DC6777" w:rsidRDefault="00DC6777" w:rsidP="00DC6777">
      <w:r w:rsidRPr="00DC6777">
        <w:t>I can now explain more clearly why I’m waiting, what would need to improve before I would consider initiating a position, and what evidence would make me reconsider the assumptions.</w:t>
      </w:r>
    </w:p>
    <w:p w14:paraId="7241F381" w14:textId="77777777" w:rsidR="00DC6777" w:rsidRPr="00DC6777" w:rsidRDefault="00DC6777" w:rsidP="00DC6777">
      <w:r w:rsidRPr="00DC6777">
        <w:t>For me, that is the main development from Edition A to Edition B: I have a clearer basis for the decision, and I can show where that basis is still uncertain.</w:t>
      </w:r>
    </w:p>
    <w:p w14:paraId="5820DED8" w14:textId="77777777" w:rsidR="00DC6777" w:rsidRDefault="00DC6777"/>
    <w:sectPr w:rsidR="00DC6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F9"/>
    <w:rsid w:val="00094D52"/>
    <w:rsid w:val="001B7513"/>
    <w:rsid w:val="002526F9"/>
    <w:rsid w:val="00436188"/>
    <w:rsid w:val="00875C9C"/>
    <w:rsid w:val="00DC6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C4347"/>
  <w15:chartTrackingRefBased/>
  <w15:docId w15:val="{368EB68B-1F51-46B1-AEB0-AC21872A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6F9"/>
    <w:rPr>
      <w:rFonts w:eastAsiaTheme="majorEastAsia" w:cstheme="majorBidi"/>
      <w:color w:val="272727" w:themeColor="text1" w:themeTint="D8"/>
    </w:rPr>
  </w:style>
  <w:style w:type="paragraph" w:styleId="Title">
    <w:name w:val="Title"/>
    <w:basedOn w:val="Normal"/>
    <w:next w:val="Normal"/>
    <w:link w:val="TitleChar"/>
    <w:uiPriority w:val="10"/>
    <w:qFormat/>
    <w:rsid w:val="00252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6F9"/>
    <w:pPr>
      <w:spacing w:before="160"/>
      <w:jc w:val="center"/>
    </w:pPr>
    <w:rPr>
      <w:i/>
      <w:iCs/>
      <w:color w:val="404040" w:themeColor="text1" w:themeTint="BF"/>
    </w:rPr>
  </w:style>
  <w:style w:type="character" w:customStyle="1" w:styleId="QuoteChar">
    <w:name w:val="Quote Char"/>
    <w:basedOn w:val="DefaultParagraphFont"/>
    <w:link w:val="Quote"/>
    <w:uiPriority w:val="29"/>
    <w:rsid w:val="002526F9"/>
    <w:rPr>
      <w:i/>
      <w:iCs/>
      <w:color w:val="404040" w:themeColor="text1" w:themeTint="BF"/>
    </w:rPr>
  </w:style>
  <w:style w:type="paragraph" w:styleId="ListParagraph">
    <w:name w:val="List Paragraph"/>
    <w:basedOn w:val="Normal"/>
    <w:uiPriority w:val="34"/>
    <w:qFormat/>
    <w:rsid w:val="002526F9"/>
    <w:pPr>
      <w:ind w:left="720"/>
      <w:contextualSpacing/>
    </w:pPr>
  </w:style>
  <w:style w:type="character" w:styleId="IntenseEmphasis">
    <w:name w:val="Intense Emphasis"/>
    <w:basedOn w:val="DefaultParagraphFont"/>
    <w:uiPriority w:val="21"/>
    <w:qFormat/>
    <w:rsid w:val="002526F9"/>
    <w:rPr>
      <w:i/>
      <w:iCs/>
      <w:color w:val="0F4761" w:themeColor="accent1" w:themeShade="BF"/>
    </w:rPr>
  </w:style>
  <w:style w:type="paragraph" w:styleId="IntenseQuote">
    <w:name w:val="Intense Quote"/>
    <w:basedOn w:val="Normal"/>
    <w:next w:val="Normal"/>
    <w:link w:val="IntenseQuoteChar"/>
    <w:uiPriority w:val="30"/>
    <w:qFormat/>
    <w:rsid w:val="00252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6F9"/>
    <w:rPr>
      <w:i/>
      <w:iCs/>
      <w:color w:val="0F4761" w:themeColor="accent1" w:themeShade="BF"/>
    </w:rPr>
  </w:style>
  <w:style w:type="character" w:styleId="IntenseReference">
    <w:name w:val="Intense Reference"/>
    <w:basedOn w:val="DefaultParagraphFont"/>
    <w:uiPriority w:val="32"/>
    <w:qFormat/>
    <w:rsid w:val="00252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1466</Words>
  <Characters>8360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Murrin</dc:creator>
  <cp:keywords/>
  <dc:description/>
  <cp:lastModifiedBy>Aidan Murrin</cp:lastModifiedBy>
  <cp:revision>4</cp:revision>
  <dcterms:created xsi:type="dcterms:W3CDTF">2026-10-19T20:11:00Z</dcterms:created>
  <dcterms:modified xsi:type="dcterms:W3CDTF">2026-10-20T00:24:00Z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992a2559-f0bf-480f-875e-886e15af95d3</vt:lpwstr>
  </property>
</Properties>
</file>