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754" w14:textId="77777777" w:rsidR="00A83B59" w:rsidRPr="00A83B59" w:rsidRDefault="00A83B59" w:rsidP="00A83B59">
      <w:pPr>
        <w:rPr>
          <w:b/>
          <w:bCs/>
        </w:rPr>
      </w:pPr>
      <w:r w:rsidRPr="00A83B59">
        <w:rPr>
          <w:b/>
          <w:bCs/>
        </w:rPr>
        <w:t>Video 3 — My Recommendation and Investment Defense</w:t>
      </w:r>
    </w:p>
    <w:p w14:paraId="719904A8" w14:textId="77777777" w:rsidR="00A83B59" w:rsidRPr="00A83B59" w:rsidRDefault="00A83B59" w:rsidP="00A83B59">
      <w:pPr>
        <w:rPr>
          <w:b/>
          <w:bCs/>
        </w:rPr>
      </w:pPr>
      <w:r w:rsidRPr="00A83B59">
        <w:rPr>
          <w:b/>
          <w:bCs/>
        </w:rPr>
        <w:t>My recommendation</w:t>
      </w:r>
    </w:p>
    <w:p w14:paraId="16548224" w14:textId="77777777" w:rsidR="00A83B59" w:rsidRPr="00A83B59" w:rsidRDefault="00A83B59" w:rsidP="00A83B59">
      <w:r w:rsidRPr="00A83B59">
        <w:rPr>
          <w:b/>
          <w:bCs/>
        </w:rPr>
        <w:t>Show:</w:t>
      </w:r>
      <w:r w:rsidRPr="00A83B59">
        <w:t xml:space="preserve"> Page 1 of the two-page Decision Memo.</w:t>
      </w:r>
    </w:p>
    <w:p w14:paraId="43116224" w14:textId="77777777" w:rsidR="00A83B59" w:rsidRPr="00A83B59" w:rsidRDefault="00A83B59" w:rsidP="00A83B59">
      <w:r w:rsidRPr="00A83B59">
        <w:t>My recommendation is to keep eBay on watch and defer starting a position.</w:t>
      </w:r>
    </w:p>
    <w:p w14:paraId="0CEEC85D" w14:textId="77777777" w:rsidR="00A83B59" w:rsidRPr="00A83B59" w:rsidRDefault="00A83B59" w:rsidP="00A83B59">
      <w:r w:rsidRPr="00A83B59">
        <w:t>The fund doesn’t currently own the stock, and I’m evaluating it over a three-to-five-year investment horizon. This recommendation is based on the information and valuation assumptions dated September 16, 2026.</w:t>
      </w:r>
    </w:p>
    <w:p w14:paraId="3F893DA0" w14:textId="77777777" w:rsidR="00A83B59" w:rsidRPr="00A83B59" w:rsidRDefault="00A83B59" w:rsidP="00A83B59">
      <w:r w:rsidRPr="00A83B59">
        <w:t>My provisional valuation range is approximately 31 to 81 dollars per share. That compares with eBay’s price of 109 dollars and 17 cents on that date.</w:t>
      </w:r>
    </w:p>
    <w:p w14:paraId="0F0DF28D" w14:textId="77777777" w:rsidR="00A83B59" w:rsidRPr="00A83B59" w:rsidRDefault="00A83B59" w:rsidP="00A83B59">
      <w:r w:rsidRPr="00A83B59">
        <w:t>Based on those results, I’m not asking the committee to approve an initial position. Even the high scenario is below that dated market price, and there are still important questions around cash, acquisition accounting and dilution.</w:t>
      </w:r>
    </w:p>
    <w:p w14:paraId="251ED361" w14:textId="77777777" w:rsidR="00A83B59" w:rsidRPr="00A83B59" w:rsidRDefault="00A83B59" w:rsidP="00A83B59">
      <w:r w:rsidRPr="00A83B59">
        <w:t>I would keep eBay under review because there are specific operating developments and evidence improvements that could change the analysis. But before initiating, I would need stronger support for the assumptions and a price that offers enough protection against the downside.</w:t>
      </w:r>
    </w:p>
    <w:p w14:paraId="2AA00702" w14:textId="77777777" w:rsidR="00A83B59" w:rsidRPr="00A83B59" w:rsidRDefault="00A83B59" w:rsidP="00A83B59">
      <w:r w:rsidRPr="00A83B59">
        <w:t>I’ll explain the operating drivers behind the range, how I move from business value to value per share, and what would make me change the recommendation.</w:t>
      </w:r>
    </w:p>
    <w:p w14:paraId="5839983D" w14:textId="77777777" w:rsidR="00A83B59" w:rsidRPr="00A83B59" w:rsidRDefault="00A83B59" w:rsidP="00A83B59">
      <w:pPr>
        <w:rPr>
          <w:b/>
          <w:bCs/>
        </w:rPr>
      </w:pPr>
      <w:r w:rsidRPr="00A83B59">
        <w:rPr>
          <w:b/>
          <w:bCs/>
        </w:rPr>
        <w:t>What drives the valuation range</w:t>
      </w:r>
    </w:p>
    <w:p w14:paraId="34924510" w14:textId="77777777" w:rsidR="00A83B59" w:rsidRPr="00A83B59" w:rsidRDefault="00A83B59" w:rsidP="00A83B59">
      <w:r w:rsidRPr="00A83B59">
        <w:rPr>
          <w:b/>
          <w:bCs/>
        </w:rPr>
        <w:t>Show:</w:t>
      </w:r>
      <w:r w:rsidRPr="00A83B59">
        <w:t xml:space="preserve"> Cases and named stresses, the assumption-challenge register, and the scenario record.</w:t>
      </w:r>
    </w:p>
    <w:p w14:paraId="6A7035AD" w14:textId="77777777" w:rsidR="00A83B59" w:rsidRPr="00A83B59" w:rsidRDefault="00A83B59" w:rsidP="00A83B59">
      <w:r w:rsidRPr="00A83B59">
        <w:t>The forecast separates four main pieces: legacy marketplace GMV, marketplace yield, advertising yield and Depop.</w:t>
      </w:r>
    </w:p>
    <w:p w14:paraId="6DC816E5" w14:textId="77777777" w:rsidR="00A83B59" w:rsidRPr="00A83B59" w:rsidRDefault="00A83B59" w:rsidP="00A83B59">
      <w:r w:rsidRPr="00A83B59">
        <w:t>GMV measures the value of merchandise sold through the marketplace. The yield assumptions determine how much revenue eBay earns from that activity.</w:t>
      </w:r>
    </w:p>
    <w:p w14:paraId="3023425C" w14:textId="77777777" w:rsidR="00A83B59" w:rsidRPr="00A83B59" w:rsidRDefault="00A83B59" w:rsidP="00A83B59">
      <w:r w:rsidRPr="00A83B59">
        <w:t>I separated those drivers because the same revenue growth rate can come from different sources. More marketplace volume, higher advertising monetization and acquisition growth can each have different effects on costs and investment needs.</w:t>
      </w:r>
    </w:p>
    <w:p w14:paraId="53B57DF1" w14:textId="77777777" w:rsidR="00A83B59" w:rsidRPr="00A83B59" w:rsidRDefault="00A83B59" w:rsidP="00A83B59">
      <w:r w:rsidRPr="00A83B59">
        <w:t>In the base case, GMV growth slows from four percent to three percent over the five rolling annual forecast periods. The model includes modest advertising-yield improvements at the beginning of the forecast, along with an assumed recovery at Depop.</w:t>
      </w:r>
    </w:p>
    <w:p w14:paraId="74AD5B11" w14:textId="77777777" w:rsidR="00A83B59" w:rsidRPr="00A83B59" w:rsidRDefault="00A83B59" w:rsidP="00A83B59">
      <w:r w:rsidRPr="00A83B59">
        <w:lastRenderedPageBreak/>
        <w:t>That recovery is a judgment in the scenario. It isn’t something I’m treating as guaranteed.</w:t>
      </w:r>
    </w:p>
    <w:p w14:paraId="398B972F" w14:textId="77777777" w:rsidR="00A83B59" w:rsidRPr="00A83B59" w:rsidRDefault="00A83B59" w:rsidP="00A83B59">
      <w:r w:rsidRPr="00A83B59">
        <w:t>The low case combines weaker volume and monetization with less favorable costs, a weaker recovery and less favorable discounting assumptions. The high case combines stronger volume and monetization with improved economics and a lower discount rate.</w:t>
      </w:r>
    </w:p>
    <w:p w14:paraId="3B33B13A" w14:textId="77777777" w:rsidR="00A83B59" w:rsidRPr="00A83B59" w:rsidRDefault="00A83B59" w:rsidP="00A83B59">
      <w:r w:rsidRPr="00A83B59">
        <w:t>Those cases produce values of approximately 30.58 dollars, 53.17 dollars and 80.55 dollars per share.</w:t>
      </w:r>
    </w:p>
    <w:p w14:paraId="4922DF07" w14:textId="77777777" w:rsidR="00A83B59" w:rsidRPr="00A83B59" w:rsidRDefault="00A83B59" w:rsidP="00A83B59">
      <w:r w:rsidRPr="00A83B59">
        <w:t>I’m not assigning probabilities to those three values. Each one represents a set of economic conditions, and the purpose is to show what the business would need to deliver to support that valuation.</w:t>
      </w:r>
    </w:p>
    <w:p w14:paraId="59D2EB07" w14:textId="77777777" w:rsidR="00A83B59" w:rsidRPr="00A83B59" w:rsidRDefault="00A83B59" w:rsidP="00A83B59">
      <w:r w:rsidRPr="00A83B59">
        <w:t>The range also makes the assumptions easier to challenge. If the committee disagrees with the expected GMV growth or Depop recovery, we can identify the assumption involved and examine how changing it affects the result.</w:t>
      </w:r>
    </w:p>
    <w:p w14:paraId="0B8F636F" w14:textId="77777777" w:rsidR="00A83B59" w:rsidRPr="00A83B59" w:rsidRDefault="00A83B59" w:rsidP="00A83B59">
      <w:pPr>
        <w:rPr>
          <w:b/>
          <w:bCs/>
        </w:rPr>
      </w:pPr>
      <w:r w:rsidRPr="00A83B59">
        <w:rPr>
          <w:b/>
          <w:bCs/>
        </w:rPr>
        <w:t>Discounting and the terminal value</w:t>
      </w:r>
    </w:p>
    <w:p w14:paraId="16E63E6B" w14:textId="77777777" w:rsidR="00A83B59" w:rsidRPr="00A83B59" w:rsidRDefault="00A83B59" w:rsidP="00A83B59">
      <w:r w:rsidRPr="00A83B59">
        <w:rPr>
          <w:b/>
          <w:bCs/>
        </w:rPr>
        <w:t>Show:</w:t>
      </w:r>
      <w:r w:rsidRPr="00A83B59">
        <w:t xml:space="preserve"> WACC inputs and the terminal-value convention.</w:t>
      </w:r>
    </w:p>
    <w:p w14:paraId="19F53EFA" w14:textId="77777777" w:rsidR="00A83B59" w:rsidRPr="00A83B59" w:rsidRDefault="00A83B59" w:rsidP="00A83B59">
      <w:r w:rsidRPr="00A83B59">
        <w:t>The base WACC is approximately 9.38 percent.</w:t>
      </w:r>
    </w:p>
    <w:p w14:paraId="707DC7D2" w14:textId="77777777" w:rsidR="00A83B59" w:rsidRPr="00A83B59" w:rsidRDefault="00A83B59" w:rsidP="00A83B59">
      <w:r w:rsidRPr="00A83B59">
        <w:t>The risk-free input is 5.01 percent. A beta of one, a five-percent equity risk premium and a one-percent debt spread are judgmental inputs. The model also uses book debt as a proxy for the market value of debt.</w:t>
      </w:r>
    </w:p>
    <w:p w14:paraId="2467BCAD" w14:textId="77777777" w:rsidR="00A83B59" w:rsidRPr="00A83B59" w:rsidRDefault="00A83B59" w:rsidP="00A83B59">
      <w:r w:rsidRPr="00A83B59">
        <w:t>I want to be clear about that because the WACC has a direct effect on the valuation. Better dated evidence on risk and credit conditions would strengthen those assumptions.</w:t>
      </w:r>
    </w:p>
    <w:p w14:paraId="3ABDF637" w14:textId="77777777" w:rsidR="00A83B59" w:rsidRPr="00A83B59" w:rsidRDefault="00A83B59" w:rsidP="00A83B59">
      <w:r w:rsidRPr="00A83B59">
        <w:t>The terminal growth rate is two and a half percent, and the assumed incremental return on invested capital is fifteen percent.</w:t>
      </w:r>
    </w:p>
    <w:p w14:paraId="249B6CC1" w14:textId="77777777" w:rsidR="00A83B59" w:rsidRPr="00A83B59" w:rsidRDefault="00A83B59" w:rsidP="00A83B59">
      <w:r w:rsidRPr="00A83B59">
        <w:t>The model includes the investment needed to support that growth. Dividing growth by ROIC gives a reinvestment rate of about one sixth of terminal after-tax operating profit.</w:t>
      </w:r>
    </w:p>
    <w:p w14:paraId="79A7FA9B" w14:textId="77777777" w:rsidR="00A83B59" w:rsidRPr="00A83B59" w:rsidRDefault="00A83B59" w:rsidP="00A83B59">
      <w:r w:rsidRPr="00A83B59">
        <w:t>That matters because the terminal calculation shouldn’t assume the business can keep growing without putting money back into its operations.</w:t>
      </w:r>
    </w:p>
    <w:p w14:paraId="3C460BFD" w14:textId="77777777" w:rsidR="00A83B59" w:rsidRPr="00A83B59" w:rsidRDefault="00A83B59" w:rsidP="00A83B59">
      <w:r w:rsidRPr="00A83B59">
        <w:t>Approximately 70.59 percent of base enterprise value comes from the discounted terminal value. That is a large share of the total, so the assumptions about sustainable growth and returns have a substantial influence on my conclusion.</w:t>
      </w:r>
    </w:p>
    <w:p w14:paraId="6646B02A" w14:textId="77777777" w:rsidR="00A83B59" w:rsidRPr="00A83B59" w:rsidRDefault="00A83B59" w:rsidP="00A83B59">
      <w:r w:rsidRPr="00A83B59">
        <w:lastRenderedPageBreak/>
        <w:t>It also means I need to be cautious about treating the five-year forecast as the whole investment case. Much of the value depends on what the business can sustain beyond those explicit forecast years.</w:t>
      </w:r>
    </w:p>
    <w:p w14:paraId="40E1317F" w14:textId="77777777" w:rsidR="00A83B59" w:rsidRPr="00A83B59" w:rsidRDefault="00A83B59" w:rsidP="00A83B59">
      <w:pPr>
        <w:rPr>
          <w:b/>
          <w:bCs/>
        </w:rPr>
      </w:pPr>
      <w:r w:rsidRPr="00A83B59">
        <w:rPr>
          <w:b/>
          <w:bCs/>
        </w:rPr>
        <w:t>Moving from business value to value per share</w:t>
      </w:r>
    </w:p>
    <w:p w14:paraId="1A34A0BE" w14:textId="77777777" w:rsidR="00A83B59" w:rsidRPr="00A83B59" w:rsidRDefault="00A83B59" w:rsidP="00A83B59">
      <w:r w:rsidRPr="00A83B59">
        <w:rPr>
          <w:b/>
          <w:bCs/>
        </w:rPr>
        <w:t>Show:</w:t>
      </w:r>
      <w:r w:rsidRPr="00A83B59">
        <w:t xml:space="preserve"> Enterprise-to-equity bridge and the shared fact sheet.</w:t>
      </w:r>
    </w:p>
    <w:p w14:paraId="70075710" w14:textId="77777777" w:rsidR="00A83B59" w:rsidRPr="00A83B59" w:rsidRDefault="00A83B59" w:rsidP="00A83B59">
      <w:r w:rsidRPr="00A83B59">
        <w:t>The base enterprise value is about 27.83 billion dollars.</w:t>
      </w:r>
    </w:p>
    <w:p w14:paraId="64A3E9EF" w14:textId="77777777" w:rsidR="00A83B59" w:rsidRPr="00A83B59" w:rsidRDefault="00A83B59" w:rsidP="00A83B59">
      <w:r w:rsidRPr="00A83B59">
        <w:t>To move from enterprise value to equity value, the model deducts a cash-reserve shortfall of approximately 98 million dollars. It then adds 2.541 billion dollars of liquid investments and 657 million dollars of equity investments after a haircut.</w:t>
      </w:r>
    </w:p>
    <w:p w14:paraId="7F527007" w14:textId="77777777" w:rsidR="00A83B59" w:rsidRPr="00A83B59" w:rsidRDefault="00A83B59" w:rsidP="00A83B59">
      <w:r w:rsidRPr="00A83B59">
        <w:t>The bridge also deducts 6.735 billion dollars of debt. Other claims are currently assumed to be zero, which remains something to review.</w:t>
      </w:r>
    </w:p>
    <w:p w14:paraId="18A0C690" w14:textId="77777777" w:rsidR="00A83B59" w:rsidRPr="00A83B59" w:rsidRDefault="00A83B59" w:rsidP="00A83B59">
      <w:r w:rsidRPr="00A83B59">
        <w:t>That produces equity value of about 24.19 billion dollars. Dividing by the diluted-share proxy of 455 million gives the base value of approximately 53.17 dollars per share.</w:t>
      </w:r>
    </w:p>
    <w:p w14:paraId="6AEE4C44" w14:textId="77777777" w:rsidR="00A83B59" w:rsidRPr="00A83B59" w:rsidRDefault="00A83B59" w:rsidP="00A83B59">
      <w:r w:rsidRPr="00A83B59">
        <w:t>There are several definitions behind that bridge that matter.</w:t>
      </w:r>
    </w:p>
    <w:p w14:paraId="52F0B142" w14:textId="77777777" w:rsidR="00A83B59" w:rsidRPr="00A83B59" w:rsidRDefault="00A83B59" w:rsidP="00A83B59">
      <w:r w:rsidRPr="00A83B59">
        <w:t>Customer funds are excluded. Investment income is outside operating profit, and the investment assets are added once in the bridge. Operating leases remain operating costs.</w:t>
      </w:r>
    </w:p>
    <w:p w14:paraId="76CD01D2" w14:textId="77777777" w:rsidR="00A83B59" w:rsidRPr="00A83B59" w:rsidRDefault="00A83B59" w:rsidP="00A83B59">
      <w:r w:rsidRPr="00A83B59">
        <w:t>The September cash balance is synthetic rather than directly reported for that date. The diluted-share denominator is also a proxy, not a verified September point-in-time fully diluted count.</w:t>
      </w:r>
    </w:p>
    <w:p w14:paraId="31CBD51E" w14:textId="77777777" w:rsidR="00A83B59" w:rsidRPr="00A83B59" w:rsidRDefault="00A83B59" w:rsidP="00A83B59">
      <w:r w:rsidRPr="00A83B59">
        <w:t>Those qualifications affect whether the per-share result is strong enough to support an actual investment decision. A precise-looking output doesn’t remove uncertainty in the inputs used to calculate it.</w:t>
      </w:r>
    </w:p>
    <w:p w14:paraId="73BBB53D" w14:textId="77777777" w:rsidR="00A83B59" w:rsidRPr="00A83B59" w:rsidRDefault="00A83B59" w:rsidP="00A83B59">
      <w:pPr>
        <w:rPr>
          <w:b/>
          <w:bCs/>
        </w:rPr>
      </w:pPr>
      <w:r w:rsidRPr="00A83B59">
        <w:rPr>
          <w:b/>
          <w:bCs/>
        </w:rPr>
        <w:t>Sensitivity and what the market price would require</w:t>
      </w:r>
    </w:p>
    <w:p w14:paraId="0324E118" w14:textId="77777777" w:rsidR="00A83B59" w:rsidRPr="00A83B59" w:rsidRDefault="00A83B59" w:rsidP="00A83B59">
      <w:r w:rsidRPr="00A83B59">
        <w:rPr>
          <w:b/>
          <w:bCs/>
        </w:rPr>
        <w:t>Show:</w:t>
      </w:r>
      <w:r w:rsidRPr="00A83B59">
        <w:t xml:space="preserve"> The WACC–growth sensitivity table and reverse-DCF results.</w:t>
      </w:r>
    </w:p>
    <w:p w14:paraId="38DC19FB" w14:textId="77777777" w:rsidR="00A83B59" w:rsidRPr="00A83B59" w:rsidRDefault="00A83B59" w:rsidP="00A83B59">
      <w:r w:rsidRPr="00A83B59">
        <w:t>The WACC–growth sensitivity produces values of approximately 43.70 to 69.70 dollars per share over the tested combinations.</w:t>
      </w:r>
    </w:p>
    <w:p w14:paraId="6EDD77DE" w14:textId="77777777" w:rsidR="00A83B59" w:rsidRPr="00A83B59" w:rsidRDefault="00A83B59" w:rsidP="00A83B59">
      <w:r w:rsidRPr="00A83B59">
        <w:t>That range is separate from the low-to-high operating scenario range. The sensitivity changes two valuation inputs, while the causal scenarios change a broader set of operating and valuation assumptions.</w:t>
      </w:r>
    </w:p>
    <w:p w14:paraId="414C6DA5" w14:textId="77777777" w:rsidR="00A83B59" w:rsidRPr="00A83B59" w:rsidRDefault="00A83B59" w:rsidP="00A83B59">
      <w:r w:rsidRPr="00A83B59">
        <w:t>I also used a reverse DCF to ask what would have to change for the model to support the dated market price.</w:t>
      </w:r>
    </w:p>
    <w:p w14:paraId="2C171F4B" w14:textId="77777777" w:rsidR="00A83B59" w:rsidRPr="00A83B59" w:rsidRDefault="00A83B59" w:rsidP="00A83B59">
      <w:r w:rsidRPr="00A83B59">
        <w:lastRenderedPageBreak/>
        <w:t>With the other base assumptions held fixed, the model requires approximately 20.08 percent constant annual legacy GMV growth over the five-year forecast.</w:t>
      </w:r>
    </w:p>
    <w:p w14:paraId="0E185D9C" w14:textId="77777777" w:rsidR="00A83B59" w:rsidRPr="00A83B59" w:rsidRDefault="00A83B59" w:rsidP="00A83B59">
      <w:r w:rsidRPr="00A83B59">
        <w:t>That gives me a useful way to challenge the price. I can ask whether there is evidence strong enough to support that level of marketplace growth under the other assumptions in the model.</w:t>
      </w:r>
    </w:p>
    <w:p w14:paraId="57CBE996" w14:textId="77777777" w:rsidR="00A83B59" w:rsidRPr="00A83B59" w:rsidRDefault="00A83B59" w:rsidP="00A83B59">
      <w:r w:rsidRPr="00A83B59">
        <w:t>But it isn’t proof that investors literally expect 20.08 percent GMV growth. The market could be using different assumptions about margins, monetization, risk or other parts of the business.</w:t>
      </w:r>
    </w:p>
    <w:p w14:paraId="44CCF702" w14:textId="77777777" w:rsidR="00A83B59" w:rsidRPr="00A83B59" w:rsidRDefault="00A83B59" w:rsidP="00A83B59">
      <w:r w:rsidRPr="00A83B59">
        <w:t>It is one conditional explanation of the price, rather than a forecast of what will happen.</w:t>
      </w:r>
    </w:p>
    <w:p w14:paraId="062CE790" w14:textId="77777777" w:rsidR="00A83B59" w:rsidRPr="00A83B59" w:rsidRDefault="00A83B59" w:rsidP="00A83B59">
      <w:pPr>
        <w:rPr>
          <w:b/>
          <w:bCs/>
        </w:rPr>
      </w:pPr>
      <w:r w:rsidRPr="00A83B59">
        <w:rPr>
          <w:b/>
          <w:bCs/>
        </w:rPr>
        <w:t>What the comparable-company analysis adds</w:t>
      </w:r>
    </w:p>
    <w:p w14:paraId="03BC3F01" w14:textId="77777777" w:rsidR="00A83B59" w:rsidRPr="00A83B59" w:rsidRDefault="00A83B59" w:rsidP="00A83B59">
      <w:r w:rsidRPr="00A83B59">
        <w:rPr>
          <w:b/>
          <w:bCs/>
        </w:rPr>
        <w:t>Show:</w:t>
      </w:r>
      <w:r w:rsidRPr="00A83B59">
        <w:t xml:space="preserve"> Peer policy and comparable-company diagnostics.</w:t>
      </w:r>
    </w:p>
    <w:p w14:paraId="67C9CBF9" w14:textId="77777777" w:rsidR="00A83B59" w:rsidRPr="00A83B59" w:rsidRDefault="00A83B59" w:rsidP="00A83B59">
      <w:r w:rsidRPr="00A83B59">
        <w:t>For the comparable-company analysis, the policy prioritizes fee-based marketplaces with comparable definitions of continuing operations.</w:t>
      </w:r>
    </w:p>
    <w:p w14:paraId="43A2FBA7" w14:textId="77777777" w:rsidR="00A83B59" w:rsidRPr="00A83B59" w:rsidRDefault="00A83B59" w:rsidP="00A83B59">
      <w:r w:rsidRPr="00A83B59">
        <w:t>Etsy is the single qualified quantitative peer under that policy. MercadoLibre is more difficult to use in a direct enterprise-value comparison because its credit, payment funding, logistics and retail activities introduce different economics.</w:t>
      </w:r>
    </w:p>
    <w:p w14:paraId="5E9D1A98" w14:textId="77777777" w:rsidR="00A83B59" w:rsidRPr="00A83B59" w:rsidRDefault="00A83B59" w:rsidP="00A83B59">
      <w:r w:rsidRPr="00A83B59">
        <w:t>Having only one qualified peer limits how much confidence I can place in the comparison. It doesn’t give me a broad or especially robust peer valuation range.</w:t>
      </w:r>
    </w:p>
    <w:p w14:paraId="4C122CC2" w14:textId="77777777" w:rsidR="00A83B59" w:rsidRPr="00A83B59" w:rsidRDefault="00A83B59" w:rsidP="00A83B59">
      <w:r w:rsidRPr="00A83B59">
        <w:t>I also need to be accurate about how that policy was developed. It was documented during AI-assisted implementation before the new comparison, but it isn’t independently timestamped as my original human-authored policy.</w:t>
      </w:r>
    </w:p>
    <w:p w14:paraId="704BEBC2" w14:textId="77777777" w:rsidR="00A83B59" w:rsidRPr="00A83B59" w:rsidRDefault="00A83B59" w:rsidP="00A83B59">
      <w:r w:rsidRPr="00A83B59">
        <w:t>The P/E approach implies an eBay share value of about 71.99 dollars, while the EV-to-EBIT approach implies about 77.50 dollars.</w:t>
      </w:r>
    </w:p>
    <w:p w14:paraId="2BA07726" w14:textId="77777777" w:rsidR="00A83B59" w:rsidRPr="00A83B59" w:rsidRDefault="00A83B59" w:rsidP="00A83B59">
      <w:r w:rsidRPr="00A83B59">
        <w:t>Those are the implied share values, not the multiple ratios themselves.</w:t>
      </w:r>
    </w:p>
    <w:p w14:paraId="4607C871" w14:textId="77777777" w:rsidR="00A83B59" w:rsidRPr="00A83B59" w:rsidRDefault="00A83B59" w:rsidP="00A83B59">
      <w:r w:rsidRPr="00A83B59">
        <w:t>The earnings basis is annualized first-half continuing results. It isn’t trailing-twelve-month earnings, and it isn’t company guidance. That distinction matters when interpreting the comparison.</w:t>
      </w:r>
    </w:p>
    <w:p w14:paraId="33A17683" w14:textId="77777777" w:rsidR="00A83B59" w:rsidRPr="00A83B59" w:rsidRDefault="00A83B59" w:rsidP="00A83B59">
      <w:r w:rsidRPr="00A83B59">
        <w:t>The comparable-company values are higher than the base operating DCF. Differences involving investment income, cash conversion, capitalization and portfolio assets help explain why the approaches don’t produce the same answer.</w:t>
      </w:r>
    </w:p>
    <w:p w14:paraId="544C42CD" w14:textId="77777777" w:rsidR="00A83B59" w:rsidRPr="00A83B59" w:rsidRDefault="00A83B59" w:rsidP="00A83B59">
      <w:r w:rsidRPr="00A83B59">
        <w:lastRenderedPageBreak/>
        <w:t>I don’t think mechanically averaging them would resolve those differences. I need to understand what each method captures and where its limitations are.</w:t>
      </w:r>
    </w:p>
    <w:p w14:paraId="0CAB89B1" w14:textId="77777777" w:rsidR="00A83B59" w:rsidRPr="00A83B59" w:rsidRDefault="00A83B59" w:rsidP="00A83B59">
      <w:r w:rsidRPr="00A83B59">
        <w:t>The older lab valuation band of 203 to 229 dollars used different earnings and business boundaries, so I’m not using it as current fair-value evidence.</w:t>
      </w:r>
    </w:p>
    <w:p w14:paraId="2BCE0F43" w14:textId="77777777" w:rsidR="00A83B59" w:rsidRPr="00A83B59" w:rsidRDefault="00A83B59" w:rsidP="00A83B59">
      <w:r w:rsidRPr="00A83B59">
        <w:t>Similarly, the Depop transaction provides a reference for a control acquisition. It doesn’t establish eBay’s standalone intrinsic value.</w:t>
      </w:r>
    </w:p>
    <w:p w14:paraId="1B2C4D84" w14:textId="77777777" w:rsidR="00A83B59" w:rsidRPr="00A83B59" w:rsidRDefault="00A83B59" w:rsidP="00A83B59">
      <w:pPr>
        <w:rPr>
          <w:b/>
          <w:bCs/>
        </w:rPr>
      </w:pPr>
      <w:r w:rsidRPr="00A83B59">
        <w:rPr>
          <w:b/>
          <w:bCs/>
        </w:rPr>
        <w:t>Downside risks and reasons to change the recommendation</w:t>
      </w:r>
    </w:p>
    <w:p w14:paraId="0DA68212" w14:textId="77777777" w:rsidR="00A83B59" w:rsidRPr="00A83B59" w:rsidRDefault="00A83B59" w:rsidP="00A83B59">
      <w:r w:rsidRPr="00A83B59">
        <w:rPr>
          <w:b/>
          <w:bCs/>
        </w:rPr>
        <w:t>Show:</w:t>
      </w:r>
      <w:r w:rsidRPr="00A83B59">
        <w:t xml:space="preserve"> Decision-changing downside results and page 2 of the memo.</w:t>
      </w:r>
    </w:p>
    <w:p w14:paraId="47D89A18" w14:textId="77777777" w:rsidR="00A83B59" w:rsidRPr="00A83B59" w:rsidRDefault="00A83B59" w:rsidP="00A83B59">
      <w:r w:rsidRPr="00A83B59">
        <w:t>The downside tests help me distinguish between a company that may be worth buying at a lower price and one whose underlying investment case has deteriorated.</w:t>
      </w:r>
    </w:p>
    <w:p w14:paraId="5B9C7557" w14:textId="77777777" w:rsidR="00A83B59" w:rsidRPr="00A83B59" w:rsidRDefault="00A83B59" w:rsidP="00A83B59">
      <w:r w:rsidRPr="00A83B59">
        <w:t>Flat GMV and pressure from service costs reduce the entry value the model can support.</w:t>
      </w:r>
    </w:p>
    <w:p w14:paraId="1C4E76A8" w14:textId="77777777" w:rsidR="00A83B59" w:rsidRPr="00A83B59" w:rsidRDefault="00A83B59" w:rsidP="00A83B59">
      <w:r w:rsidRPr="00A83B59">
        <w:t>The severe marketplace-contraction scenario produces a value of about 5.49 dollars per share under explicit assumptions that still allow for a surviving terminal business.</w:t>
      </w:r>
    </w:p>
    <w:p w14:paraId="092ABBAA" w14:textId="77777777" w:rsidR="00A83B59" w:rsidRPr="00A83B59" w:rsidRDefault="00A83B59" w:rsidP="00A83B59">
      <w:r w:rsidRPr="00A83B59">
        <w:t>That figure is not a liquidation floor. It shouldn’t be interpreted as a guaranteed minimum value if the business deteriorates.</w:t>
      </w:r>
    </w:p>
    <w:p w14:paraId="476E17D0" w14:textId="77777777" w:rsidR="00A83B59" w:rsidRPr="00A83B59" w:rsidRDefault="00A83B59" w:rsidP="00A83B59">
      <w:r w:rsidRPr="00A83B59">
        <w:t>If deterioration persists without a supported recovery or adequate funding, I would change the recommendation from watch and defer to do not initiate.</w:t>
      </w:r>
    </w:p>
    <w:p w14:paraId="65946319" w14:textId="77777777" w:rsidR="00A83B59" w:rsidRPr="00A83B59" w:rsidRDefault="00A83B59" w:rsidP="00A83B59">
      <w:r w:rsidRPr="00A83B59">
        <w:t>The biggest evidence risks include the synthetic September cash balance, provisional acquisition allocation and recovery assumptions, simplified taxes and working capital, and the diluted-share proxy.</w:t>
      </w:r>
    </w:p>
    <w:p w14:paraId="08AA9C70" w14:textId="77777777" w:rsidR="00A83B59" w:rsidRPr="00A83B59" w:rsidRDefault="00A83B59" w:rsidP="00A83B59">
      <w:r w:rsidRPr="00A83B59">
        <w:t>The accounting checks are useful, but a balanced model doesn’t resolve those uncertainties.</w:t>
      </w:r>
    </w:p>
    <w:p w14:paraId="14402CD0" w14:textId="77777777" w:rsidR="00A83B59" w:rsidRPr="00A83B59" w:rsidRDefault="00A83B59" w:rsidP="00A83B59">
      <w:r w:rsidRPr="00A83B59">
        <w:t>If the enterprise-to-equity bridge stops reconciling, I would withhold the per-share conclusion until the problem is corrected. I wouldn’t continue presenting the old value as if the issue had no effect.</w:t>
      </w:r>
    </w:p>
    <w:p w14:paraId="7D03DCE8" w14:textId="77777777" w:rsidR="00A83B59" w:rsidRPr="00A83B59" w:rsidRDefault="00A83B59" w:rsidP="00A83B59">
      <w:pPr>
        <w:rPr>
          <w:b/>
          <w:bCs/>
        </w:rPr>
      </w:pPr>
      <w:r w:rsidRPr="00A83B59">
        <w:rPr>
          <w:b/>
          <w:bCs/>
        </w:rPr>
        <w:t>Monitoring and the next decision</w:t>
      </w:r>
    </w:p>
    <w:p w14:paraId="183EBD13" w14:textId="77777777" w:rsidR="00A83B59" w:rsidRPr="00A83B59" w:rsidRDefault="00A83B59" w:rsidP="00A83B59">
      <w:r w:rsidRPr="00A83B59">
        <w:rPr>
          <w:b/>
          <w:bCs/>
        </w:rPr>
        <w:t>Show:</w:t>
      </w:r>
      <w:r w:rsidRPr="00A83B59">
        <w:t xml:space="preserve"> Monitoring rules.</w:t>
      </w:r>
    </w:p>
    <w:p w14:paraId="39E84111" w14:textId="77777777" w:rsidR="00A83B59" w:rsidRPr="00A83B59" w:rsidRDefault="00A83B59" w:rsidP="00A83B59">
      <w:r w:rsidRPr="00A83B59">
        <w:t>My proposed monitoring process assigns an analyst to review each earnings release and filing within five business days.</w:t>
      </w:r>
    </w:p>
    <w:p w14:paraId="1E1507BD" w14:textId="77777777" w:rsidR="00A83B59" w:rsidRPr="00A83B59" w:rsidRDefault="00A83B59" w:rsidP="00A83B59">
      <w:r w:rsidRPr="00A83B59">
        <w:lastRenderedPageBreak/>
        <w:t>One operating trigger uses both volume and monetization. If foreign-exchange-neutral GMV growth is nonpositive, and advertising revenue divided by GMV declines year over year, in each of two consecutive quarters, I would revise the assumptions and rerun the valuation.</w:t>
      </w:r>
    </w:p>
    <w:p w14:paraId="27D699FB" w14:textId="77777777" w:rsidR="00A83B59" w:rsidRPr="00A83B59" w:rsidRDefault="00A83B59" w:rsidP="00A83B59">
      <w:r w:rsidRPr="00A83B59">
        <w:t>Those comparisons need consistent definitions. Otherwise, an apparent change could reflect a reporting difference rather than a change in the business.</w:t>
      </w:r>
    </w:p>
    <w:p w14:paraId="6EDDEE20" w14:textId="77777777" w:rsidR="00A83B59" w:rsidRPr="00A83B59" w:rsidRDefault="00A83B59" w:rsidP="00A83B59">
      <w:r w:rsidRPr="00A83B59">
        <w:t>Liquidity also needs a separate assessment, including whether discretionary distributions should be reduced.</w:t>
      </w:r>
    </w:p>
    <w:p w14:paraId="53052774" w14:textId="77777777" w:rsidR="00A83B59" w:rsidRPr="00A83B59" w:rsidRDefault="00A83B59" w:rsidP="00A83B59">
      <w:r w:rsidRPr="00A83B59">
        <w:t>The current code holds annual dividends at 550 million dollars. It doesn’t automatically decide whether those distributions should be cut, so that remains a judgment outside the model’s current automation.</w:t>
      </w:r>
    </w:p>
    <w:p w14:paraId="07C7614A" w14:textId="77777777" w:rsidR="00A83B59" w:rsidRPr="00A83B59" w:rsidRDefault="00A83B59" w:rsidP="00A83B59">
      <w:r w:rsidRPr="00A83B59">
        <w:t>If a funding shortfall persists without a supported recovery or committed financing, I would recommend do not initiate.</w:t>
      </w:r>
    </w:p>
    <w:p w14:paraId="06EC06B0" w14:textId="77777777" w:rsidR="00A83B59" w:rsidRPr="00A83B59" w:rsidRDefault="00A83B59" w:rsidP="00A83B59">
      <w:r w:rsidRPr="00A83B59">
        <w:t>For a potential purchase, my entry rule requires a price at or below eighty percent of an updated low-case value, along with a verified enterprise-to-equity bridge, supported Depop evidence and a fundable downside.</w:t>
      </w:r>
    </w:p>
    <w:p w14:paraId="27C94742" w14:textId="77777777" w:rsidR="00A83B59" w:rsidRPr="00A83B59" w:rsidRDefault="00A83B59" w:rsidP="00A83B59">
      <w:r w:rsidRPr="00A83B59">
        <w:t>Using the current low case, the price-only calculation is approximately 24.46 dollars.</w:t>
      </w:r>
    </w:p>
    <w:p w14:paraId="6FBF8717" w14:textId="77777777" w:rsidR="00A83B59" w:rsidRPr="00A83B59" w:rsidRDefault="00A83B59" w:rsidP="00A83B59">
      <w:r w:rsidRPr="00A83B59">
        <w:t>That is a conditional threshold, not an automatic buy instruction. It would change when the valuation changes, and meeting the price threshold alone wouldn’t satisfy the evidence and funding conditions.</w:t>
      </w:r>
    </w:p>
    <w:p w14:paraId="21AE6E93" w14:textId="77777777" w:rsidR="00A83B59" w:rsidRPr="00A83B59" w:rsidRDefault="00A83B59" w:rsidP="00A83B59">
      <w:r w:rsidRPr="00A83B59">
        <w:t>My request to the committee is therefore to retain eBay on watch and approve no initial position based on this dated analysis.</w:t>
      </w:r>
    </w:p>
    <w:p w14:paraId="3BD4C290" w14:textId="77777777" w:rsidR="00A83B59" w:rsidRPr="00A83B59" w:rsidRDefault="00A83B59" w:rsidP="00A83B59">
      <w:r w:rsidRPr="00A83B59">
        <w:t>The next review would take place at the next public release or a material financing event. Later results should be used to update the decision, rather than being inserted into the September analysis as if they were known at the time.</w:t>
      </w:r>
    </w:p>
    <w:p w14:paraId="6C38DAE3" w14:textId="77777777" w:rsidR="00A83B59" w:rsidRPr="00A83B59" w:rsidRDefault="00A83B59" w:rsidP="00A83B59">
      <w:r w:rsidRPr="00A83B59">
        <w:t>Stronger evidence of operating durability, supported acquisition economics, a reconciled bridge and a suitable entry price could lead me to reconsider.</w:t>
      </w:r>
    </w:p>
    <w:p w14:paraId="5C3228BB" w14:textId="77777777" w:rsidR="00A83B59" w:rsidRPr="00A83B59" w:rsidRDefault="00A83B59" w:rsidP="00A83B59">
      <w:r w:rsidRPr="00A83B59">
        <w:t>Those are the conditions I would need to see. Passing the model’s tests or getting AI to agree with the recommendation would not, by themselves, justify taking the position.</w:t>
      </w:r>
    </w:p>
    <w:p w14:paraId="66D51501" w14:textId="77777777" w:rsidR="00A83B59" w:rsidRDefault="00A83B59"/>
    <w:sectPr w:rsidR="00A83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E28"/>
    <w:rsid w:val="00094D52"/>
    <w:rsid w:val="00A83B59"/>
    <w:rsid w:val="00CC1E28"/>
    <w:rsid w:val="00FC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CB613"/>
  <w15:chartTrackingRefBased/>
  <w15:docId w15:val="{369B5467-1B66-4E4E-89D7-F2D2D9914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E28"/>
    <w:rPr>
      <w:rFonts w:eastAsiaTheme="majorEastAsia" w:cstheme="majorBidi"/>
      <w:color w:val="272727" w:themeColor="text1" w:themeTint="D8"/>
    </w:rPr>
  </w:style>
  <w:style w:type="paragraph" w:styleId="Title">
    <w:name w:val="Title"/>
    <w:basedOn w:val="Normal"/>
    <w:next w:val="Normal"/>
    <w:link w:val="TitleChar"/>
    <w:uiPriority w:val="10"/>
    <w:qFormat/>
    <w:rsid w:val="00CC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E28"/>
    <w:pPr>
      <w:spacing w:before="160"/>
      <w:jc w:val="center"/>
    </w:pPr>
    <w:rPr>
      <w:i/>
      <w:iCs/>
      <w:color w:val="404040" w:themeColor="text1" w:themeTint="BF"/>
    </w:rPr>
  </w:style>
  <w:style w:type="character" w:customStyle="1" w:styleId="QuoteChar">
    <w:name w:val="Quote Char"/>
    <w:basedOn w:val="DefaultParagraphFont"/>
    <w:link w:val="Quote"/>
    <w:uiPriority w:val="29"/>
    <w:rsid w:val="00CC1E28"/>
    <w:rPr>
      <w:i/>
      <w:iCs/>
      <w:color w:val="404040" w:themeColor="text1" w:themeTint="BF"/>
    </w:rPr>
  </w:style>
  <w:style w:type="paragraph" w:styleId="ListParagraph">
    <w:name w:val="List Paragraph"/>
    <w:basedOn w:val="Normal"/>
    <w:uiPriority w:val="34"/>
    <w:qFormat/>
    <w:rsid w:val="00CC1E28"/>
    <w:pPr>
      <w:ind w:left="720"/>
      <w:contextualSpacing/>
    </w:pPr>
  </w:style>
  <w:style w:type="character" w:styleId="IntenseEmphasis">
    <w:name w:val="Intense Emphasis"/>
    <w:basedOn w:val="DefaultParagraphFont"/>
    <w:uiPriority w:val="21"/>
    <w:qFormat/>
    <w:rsid w:val="00CC1E28"/>
    <w:rPr>
      <w:i/>
      <w:iCs/>
      <w:color w:val="0F4761" w:themeColor="accent1" w:themeShade="BF"/>
    </w:rPr>
  </w:style>
  <w:style w:type="paragraph" w:styleId="IntenseQuote">
    <w:name w:val="Intense Quote"/>
    <w:basedOn w:val="Normal"/>
    <w:next w:val="Normal"/>
    <w:link w:val="IntenseQuoteChar"/>
    <w:uiPriority w:val="30"/>
    <w:qFormat/>
    <w:rsid w:val="00CC1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E28"/>
    <w:rPr>
      <w:i/>
      <w:iCs/>
      <w:color w:val="0F4761" w:themeColor="accent1" w:themeShade="BF"/>
    </w:rPr>
  </w:style>
  <w:style w:type="character" w:styleId="IntenseReference">
    <w:name w:val="Intense Reference"/>
    <w:basedOn w:val="DefaultParagraphFont"/>
    <w:uiPriority w:val="32"/>
    <w:qFormat/>
    <w:rsid w:val="00CC1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1840</Words>
  <Characters>10489</Characters>
  <Application>Microsoft Office Word</Application>
  <DocSecurity>0</DocSecurity>
  <Lines>87</Lines>
  <Paragraphs>24</Paragraphs>
  <ScaleCrop>false</ScaleCrop>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Murrin</dc:creator>
  <cp:keywords/>
  <dc:description/>
  <cp:lastModifiedBy>Aidan Murrin</cp:lastModifiedBy>
  <cp:revision>3</cp:revision>
  <dcterms:created xsi:type="dcterms:W3CDTF">2026-10-19T20:26:00Z</dcterms:created>
  <dcterms:modified xsi:type="dcterms:W3CDTF">2026-10-20T00:25:00Z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abac8358-77fe-44fb-831e-3a5c3e4deb9f</vt:lpwstr>
  </property>
</Properties>
</file>