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E504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E504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299C5021" w:rsidR="00046A55" w:rsidRDefault="00C7715B" w:rsidP="00046A55">
      <w:pPr>
        <w:pStyle w:val="ListParagraph"/>
        <w:numPr>
          <w:ilvl w:val="1"/>
          <w:numId w:val="1"/>
        </w:numPr>
        <w:spacing w:line="372" w:lineRule="auto"/>
      </w:pPr>
      <w:r>
        <w:t>DESIGN</w:t>
      </w:r>
      <w:r w:rsidR="00B8198C">
        <w:t xml:space="preserve"> ARCHITECTURE</w:t>
      </w:r>
      <w:r>
        <w:t xml:space="preserve"> OF THE CODE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374052B8" w:rsidR="00046A55" w:rsidRDefault="00B667F4" w:rsidP="00046A55">
      <w:pPr>
        <w:pStyle w:val="ListParagraph"/>
        <w:numPr>
          <w:ilvl w:val="1"/>
          <w:numId w:val="1"/>
        </w:numPr>
        <w:spacing w:line="372" w:lineRule="auto"/>
      </w:pPr>
      <w:r>
        <w:t>GAME OPTIONS MENU</w:t>
      </w:r>
      <w:r w:rsidR="00C7715B">
        <w:t xml:space="preserve"> / OPERATING INSTRUCTIONS</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5721FEAD" w:rsidR="001809D6" w:rsidRDefault="001809D6" w:rsidP="00B8198C">
      <w:pPr>
        <w:pStyle w:val="ListParagraph"/>
        <w:numPr>
          <w:ilvl w:val="1"/>
          <w:numId w:val="1"/>
        </w:numPr>
        <w:spacing w:line="372" w:lineRule="auto"/>
      </w:pPr>
      <w:r>
        <w:t>GO README</w:t>
      </w:r>
      <w:r w:rsidR="00C7715B">
        <w:t xml:space="preserve"> / GAME RULES</w:t>
      </w:r>
      <w:r>
        <w:t xml:space="preserve"> </w:t>
      </w:r>
    </w:p>
    <w:p w14:paraId="783DE161" w14:textId="6628DF92" w:rsidR="00046A55" w:rsidRDefault="00B8198C" w:rsidP="00B8198C">
      <w:pPr>
        <w:pStyle w:val="ListParagraph"/>
        <w:numPr>
          <w:ilvl w:val="2"/>
          <w:numId w:val="1"/>
        </w:numPr>
        <w:spacing w:line="372" w:lineRule="auto"/>
      </w:pPr>
      <w:r>
        <w:tab/>
        <w:t>Installation</w:t>
      </w:r>
      <w:r w:rsidR="00046A55">
        <w:t xml:space="preserve"> </w:t>
      </w:r>
      <w:r>
        <w:t>Instructions</w:t>
      </w:r>
      <w:r w:rsidR="00C7715B">
        <w:t xml:space="preserve"> / External Dependencies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54AE080F" w:rsidR="00046A55" w:rsidRDefault="004E66EB" w:rsidP="00046A55">
      <w:pPr>
        <w:pStyle w:val="ListParagraph"/>
        <w:numPr>
          <w:ilvl w:val="0"/>
          <w:numId w:val="1"/>
        </w:numPr>
        <w:spacing w:line="372" w:lineRule="auto"/>
      </w:pPr>
      <w:r>
        <w:t xml:space="preserve">SOFTWARE </w:t>
      </w:r>
      <w:r w:rsidR="009E1F9A">
        <w:t>ASSURANCE</w:t>
      </w:r>
      <w:r>
        <w:t xml:space="preserve"> ASSESSMENT</w:t>
      </w:r>
      <w:r w:rsidR="00C7715B">
        <w:t xml:space="preserve"> / WHY WE BELIEVE IT’S SECURE</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01BBFCA1" w:rsidR="00884A77" w:rsidRDefault="00884A77" w:rsidP="00884A77">
      <w:pPr>
        <w:pStyle w:val="ListParagraph"/>
        <w:numPr>
          <w:ilvl w:val="2"/>
          <w:numId w:val="1"/>
        </w:numPr>
        <w:spacing w:line="372" w:lineRule="auto"/>
      </w:pPr>
      <w:r>
        <w:tab/>
      </w:r>
      <w:r w:rsidR="00216EC4">
        <w:t xml:space="preserve">Player Score </w:t>
      </w:r>
      <w:r>
        <w:t>Logging</w:t>
      </w:r>
    </w:p>
    <w:p w14:paraId="23D75CBF" w14:textId="36ED6D01" w:rsidR="0075451C" w:rsidRDefault="00962133" w:rsidP="0075451C">
      <w:pPr>
        <w:pStyle w:val="ListParagraph"/>
        <w:numPr>
          <w:ilvl w:val="1"/>
          <w:numId w:val="1"/>
        </w:numPr>
        <w:spacing w:line="372" w:lineRule="auto"/>
      </w:pPr>
      <w:r>
        <w:t>OWASP ZAP Testing</w:t>
      </w:r>
    </w:p>
    <w:p w14:paraId="4D7B8499" w14:textId="32AEA1A0" w:rsidR="00962133" w:rsidRDefault="00962133" w:rsidP="00962133">
      <w:pPr>
        <w:pStyle w:val="ListParagraph"/>
        <w:numPr>
          <w:ilvl w:val="2"/>
          <w:numId w:val="1"/>
        </w:numPr>
        <w:spacing w:line="372" w:lineRule="auto"/>
      </w:pPr>
      <w:r>
        <w:t xml:space="preserve"> Standard Mode</w:t>
      </w:r>
    </w:p>
    <w:p w14:paraId="707B4460" w14:textId="57B651BD" w:rsidR="00962133" w:rsidRDefault="00962133" w:rsidP="00962133">
      <w:pPr>
        <w:pStyle w:val="ListParagraph"/>
        <w:numPr>
          <w:ilvl w:val="2"/>
          <w:numId w:val="1"/>
        </w:numPr>
        <w:spacing w:line="372" w:lineRule="auto"/>
      </w:pPr>
      <w:r>
        <w:t xml:space="preserve"> Attack Mode</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232FDDA6" w:rsidR="003F4D1B" w:rsidRDefault="003F4D1B" w:rsidP="003F4D1B">
      <w:pPr>
        <w:spacing w:line="372" w:lineRule="auto"/>
      </w:pPr>
    </w:p>
    <w:p w14:paraId="7E56FEF2" w14:textId="77777777" w:rsidR="008142D4" w:rsidRPr="00BC4EC7" w:rsidRDefault="008142D4"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lastRenderedPageBreak/>
        <w:t>INTRODUCTION</w:t>
      </w:r>
    </w:p>
    <w:p w14:paraId="406B87C2" w14:textId="77777777" w:rsidR="001B07D1" w:rsidRPr="001B07D1" w:rsidRDefault="001B07D1" w:rsidP="001B07D1"/>
    <w:p w14:paraId="451F3548" w14:textId="77A577F6"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w:t>
      </w:r>
      <w:bookmarkStart w:id="0" w:name="_GoBack"/>
      <w:bookmarkEnd w:id="0"/>
      <w:r w:rsidR="008A015B">
        <w:rPr>
          <w:sz w:val="24"/>
          <w:szCs w:val="24"/>
        </w:rPr>
        <w:t>considered to be the ultimate thinking game. Its simple rules hide enormous depth</w:t>
      </w:r>
      <w:sdt>
        <w:sdtPr>
          <w:rPr>
            <w:sz w:val="24"/>
            <w:szCs w:val="24"/>
          </w:rPr>
          <w:id w:val="-859660701"/>
          <w:citation/>
        </w:sdtPr>
        <w:sdtEnd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p>
    <w:p w14:paraId="1328F0D8" w14:textId="4014A104" w:rsidR="001B07D1" w:rsidRPr="00397526" w:rsidRDefault="00E3408D" w:rsidP="001B07D1">
      <w:pPr>
        <w:pStyle w:val="Heading1"/>
        <w:numPr>
          <w:ilvl w:val="0"/>
          <w:numId w:val="7"/>
        </w:numPr>
        <w:rPr>
          <w:b/>
          <w:bCs/>
        </w:rPr>
      </w:pPr>
      <w:r>
        <w:rPr>
          <w:b/>
          <w:bCs/>
        </w:rPr>
        <w:t>DESIGN</w:t>
      </w:r>
      <w:r w:rsidR="00C7715B">
        <w:rPr>
          <w:b/>
          <w:bCs/>
        </w:rPr>
        <w:t xml:space="preserve"> ARCHITECTURE OF THE CODE</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1EF9681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lastRenderedPageBreak/>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End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End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lastRenderedPageBreak/>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End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1B12F5">
      <w:pPr>
        <w:pStyle w:val="Heading3"/>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End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27745374" w:rsidR="001B07D1" w:rsidRDefault="009B4F60" w:rsidP="009B4F60">
      <w:pPr>
        <w:pStyle w:val="Heading2"/>
        <w:numPr>
          <w:ilvl w:val="1"/>
          <w:numId w:val="7"/>
        </w:numPr>
      </w:pPr>
      <w:r>
        <w:t>GAME OPTIONS MENU</w:t>
      </w:r>
      <w:r w:rsidR="00C7715B">
        <w:t xml:space="preserve"> / OPERATING INSTRUCTIONS</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lastRenderedPageBreak/>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t>Play Competitive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44351EEF" w:rsidR="00A86659" w:rsidRDefault="002B0737" w:rsidP="00B8198C">
      <w:pPr>
        <w:pStyle w:val="Heading2"/>
        <w:numPr>
          <w:ilvl w:val="1"/>
          <w:numId w:val="7"/>
        </w:numPr>
      </w:pPr>
      <w:r>
        <w:t xml:space="preserve">GO README </w:t>
      </w:r>
      <w:r w:rsidR="00C7715B">
        <w:t>/ GAME RULES</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 xml:space="preserve">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w:t>
      </w:r>
      <w:r>
        <w:lastRenderedPageBreak/>
        <w:t>the game token will be marked as an entry onto the gameboard and control will then switch to the opponent to allow for a corresponding follow-up move.</w:t>
      </w:r>
    </w:p>
    <w:p w14:paraId="1381BFE2" w14:textId="753E128B" w:rsidR="00B628B7" w:rsidRDefault="00B628B7" w:rsidP="00B628B7">
      <w:r>
        <w:t>Go begins with an empty board. Player 1 enters moves first and moves then alternate between Player 1 and Player 2. When both players pass consecutively the game is over and the score is based on the resulting final board position. The player deemed the winner is the one who holds the greatest amount of territory</w:t>
      </w:r>
      <w:sdt>
        <w:sdtPr>
          <w:id w:val="-685820382"/>
          <w:citation/>
        </w:sdtPr>
        <w:sdtEnd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1759375F" w:rsidR="004E66EB" w:rsidRPr="00197552" w:rsidRDefault="004E66EB" w:rsidP="004E66EB">
      <w:pPr>
        <w:pStyle w:val="Heading1"/>
        <w:numPr>
          <w:ilvl w:val="0"/>
          <w:numId w:val="7"/>
        </w:numPr>
        <w:rPr>
          <w:b/>
          <w:bCs/>
        </w:rPr>
      </w:pPr>
      <w:r w:rsidRPr="00197552">
        <w:rPr>
          <w:b/>
          <w:bCs/>
        </w:rPr>
        <w:t xml:space="preserve">SOFTWARE </w:t>
      </w:r>
      <w:r w:rsidR="009E1F9A">
        <w:rPr>
          <w:b/>
          <w:bCs/>
        </w:rPr>
        <w:t>ASSURANCE</w:t>
      </w:r>
      <w:r w:rsidRPr="00197552">
        <w:rPr>
          <w:b/>
          <w:bCs/>
        </w:rPr>
        <w:t xml:space="preserve"> ASSESSMENT</w:t>
      </w:r>
      <w:r w:rsidR="00C7715B">
        <w:rPr>
          <w:b/>
          <w:bCs/>
        </w:rPr>
        <w:t xml:space="preserve"> / WHY WE BELIEVE IT’S SECURE</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End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449B5B34" w:rsidR="00F53E79" w:rsidRDefault="0050624E" w:rsidP="008A015B">
      <w:r>
        <w:t>OpenSSL is a secure software library for web applications used to protect data communications over computer networks against eavesdropping. OpenSSL contains an open-source implementation of the SSL and TLS protocols</w:t>
      </w:r>
      <w:sdt>
        <w:sdtPr>
          <w:id w:val="64232887"/>
          <w:citation/>
        </w:sdtPr>
        <w:sdtEnd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DE0E9D0" w14:textId="56B1A675" w:rsidR="0050624E" w:rsidRDefault="0050624E" w:rsidP="00EA3CD5">
      <w:r>
        <w:lastRenderedPageBreak/>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lastRenderedPageBreak/>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End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025018FD"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End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End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lastRenderedPageBreak/>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End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07561828" w:rsidR="00DB44D1" w:rsidRPr="00DB44D1" w:rsidRDefault="00DB44D1" w:rsidP="00DB44D1">
      <w:r>
        <w:t xml:space="preserve">To protect against the attacker gaining access to all user names and passwords within our online application game we employ the use of prepared statements to counterattack any potential untrusted </w:t>
      </w:r>
      <w:r w:rsidR="0081713C">
        <w:t xml:space="preserve">SQL </w:t>
      </w:r>
      <w:r>
        <w:t>database commands</w:t>
      </w:r>
      <w:r w:rsidR="0081713C">
        <w:t xml:space="preserve"> from</w:t>
      </w:r>
      <w:r>
        <w:t xml:space="preserve"> being run within our game Server.</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End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End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 xml:space="preserve">Heap-based Buffer Overflows while comparable to Stack Overflows are another form of out-of-bounds write to an area of memory allocated to a buffer residing on the Heap where the buffer is dynamically </w:t>
      </w:r>
      <w:r>
        <w:lastRenderedPageBreak/>
        <w:t>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lastRenderedPageBreak/>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End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t>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allow for administrators to configure and define how such logs are used</w:t>
      </w:r>
      <w:sdt>
        <w:sdtPr>
          <w:id w:val="1900321716"/>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Data confidentiality is the first objective of the C.I.A. data protection security triad. Confidentiality implies the enforcement of “no unauthorized read”</w:t>
      </w:r>
      <w:sdt>
        <w:sdtPr>
          <w:id w:val="73914406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w:t>
      </w:r>
      <w:r>
        <w:lastRenderedPageBreak/>
        <w:t>sensitive data exposure we have employed the use of AES 256 Symmetric Encryption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1694A64D" w:rsidR="00A86659" w:rsidRP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5479DC15" w14:textId="7F1BEEB2" w:rsidR="00A86659" w:rsidRDefault="00A86659" w:rsidP="00A86659">
      <w:pPr>
        <w:pStyle w:val="Heading2"/>
        <w:numPr>
          <w:ilvl w:val="2"/>
          <w:numId w:val="7"/>
        </w:numPr>
      </w:pPr>
      <w:r>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End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13F08">
      <w:pPr>
        <w:pStyle w:val="Heading2"/>
        <w:numPr>
          <w:ilvl w:val="2"/>
          <w:numId w:val="7"/>
        </w:numPr>
      </w:pPr>
      <w:r>
        <w:t>User Authentication &amp; Session Management</w:t>
      </w:r>
    </w:p>
    <w:p w14:paraId="4DCA4DA2" w14:textId="1ECADD6A" w:rsidR="007F4203" w:rsidRDefault="007F4203" w:rsidP="007F4203"/>
    <w:p w14:paraId="44D0B66D" w14:textId="55ABA182" w:rsidR="004811F6" w:rsidRDefault="004811F6" w:rsidP="007F4203">
      <w:r>
        <w:t xml:space="preserve">User session management is used to facilitate secure interactions between </w:t>
      </w:r>
      <w:r w:rsidR="00213F08">
        <w:t>a</w:t>
      </w:r>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lastRenderedPageBreak/>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all messag</w:t>
      </w:r>
      <w:r w:rsidR="009168AE">
        <w:t>e</w:t>
      </w:r>
      <w:r>
        <w:t>s</w:t>
      </w:r>
      <w:sdt>
        <w:sdtPr>
          <w:id w:val="-769619228"/>
          <w:citation/>
        </w:sdtPr>
        <w:sdtEnd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728720CA" w:rsidR="007F4203" w:rsidRDefault="007F4203" w:rsidP="007F4203">
      <w:pPr>
        <w:pStyle w:val="Heading4"/>
        <w:numPr>
          <w:ilvl w:val="3"/>
          <w:numId w:val="7"/>
        </w:numPr>
      </w:pPr>
      <w:r>
        <w:t>Safeguards to Reply Attack</w:t>
      </w:r>
      <w:r w:rsidR="000C5E47">
        <w:t>s</w:t>
      </w:r>
    </w:p>
    <w:p w14:paraId="4501D7E0" w14:textId="4455A59F" w:rsidR="00090B71" w:rsidRDefault="00090B71" w:rsidP="00090B71"/>
    <w:p w14:paraId="6052C875" w14:textId="7C5E9B98" w:rsidR="006538CC" w:rsidRDefault="009168AE" w:rsidP="009168AE">
      <w:pPr>
        <w:pStyle w:val="BodyText"/>
        <w:ind w:left="0" w:right="115" w:firstLine="0"/>
        <w:rPr>
          <w:rFonts w:asciiTheme="minorHAnsi" w:hAnsiTheme="minorHAnsi" w:cstheme="minorHAnsi"/>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End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6E0EC6DF" w14:textId="77777777" w:rsidR="006538CC" w:rsidRDefault="006538CC" w:rsidP="009168AE">
      <w:pPr>
        <w:pStyle w:val="BodyText"/>
        <w:ind w:left="0" w:right="115" w:firstLine="0"/>
        <w:rPr>
          <w:rFonts w:asciiTheme="minorHAnsi" w:hAnsiTheme="minorHAnsi" w:cstheme="minorHAnsi"/>
        </w:rPr>
      </w:pPr>
    </w:p>
    <w:p w14:paraId="0DEDFA6D" w14:textId="6B41E9D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Nonce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 number used once, freshness token, or timestamp)</w:t>
      </w:r>
      <w:r w:rsidR="006538CC">
        <w:rPr>
          <w:rFonts w:asciiTheme="minorHAnsi" w:hAnsiTheme="minorHAnsi" w:cstheme="minorHAnsi"/>
          <w:spacing w:val="-1"/>
        </w:rPr>
        <w:t xml:space="preserve"> using web cookies</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Nonce,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proofErr w:type="spellStart"/>
      <w:r w:rsidRPr="009168AE">
        <w:rPr>
          <w:rFonts w:asciiTheme="minorHAnsi" w:hAnsiTheme="minorHAnsi" w:cstheme="minorHAnsi"/>
          <w:spacing w:val="-1"/>
        </w:rPr>
        <w:t>Nonces</w:t>
      </w:r>
      <w:proofErr w:type="spellEnd"/>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Nonce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 </w:t>
      </w:r>
      <w:r w:rsidR="006538CC">
        <w:rPr>
          <w:rFonts w:asciiTheme="minorHAnsi" w:hAnsiTheme="minorHAnsi" w:cstheme="minorHAnsi"/>
          <w:spacing w:val="-1"/>
        </w:rPr>
        <w:t>Now should an attacker attempt to reply any client game moves to the game Server t</w:t>
      </w:r>
      <w:r w:rsidR="006538CC" w:rsidRPr="009168AE">
        <w:rPr>
          <w:rFonts w:asciiTheme="minorHAnsi" w:hAnsiTheme="minorHAnsi" w:cstheme="minorHAnsi"/>
          <w:spacing w:val="-1"/>
        </w:rPr>
        <w:t xml:space="preserve">he Nonce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2667582D" w:rsidR="00230501" w:rsidRDefault="00230501" w:rsidP="00090B71">
      <w:pPr>
        <w:pStyle w:val="ListParagraph"/>
        <w:ind w:left="0"/>
      </w:pPr>
      <w:r>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End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p>
    <w:p w14:paraId="3A62AE71" w14:textId="77777777" w:rsidR="007F4203" w:rsidRPr="007F4203" w:rsidRDefault="007F4203" w:rsidP="007F4203"/>
    <w:p w14:paraId="6023D31A" w14:textId="40794026" w:rsidR="00267490" w:rsidRDefault="00267490" w:rsidP="00213F08">
      <w:pPr>
        <w:pStyle w:val="Heading2"/>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w:t>
      </w:r>
      <w:r w:rsidR="00666A6E">
        <w:lastRenderedPageBreak/>
        <w:t xml:space="preserve">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213F08">
      <w:pPr>
        <w:pStyle w:val="Heading2"/>
        <w:numPr>
          <w:ilvl w:val="2"/>
          <w:numId w:val="7"/>
        </w:numPr>
      </w:pPr>
      <w:r>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End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47619875" w:rsidR="007037E7" w:rsidRDefault="00216EC4" w:rsidP="007037E7">
      <w:pPr>
        <w:pStyle w:val="Heading2"/>
        <w:numPr>
          <w:ilvl w:val="2"/>
          <w:numId w:val="7"/>
        </w:numPr>
      </w:pPr>
      <w:r>
        <w:t xml:space="preserve">Player Score </w:t>
      </w:r>
      <w:r w:rsidR="007037E7">
        <w:t>Logging</w:t>
      </w:r>
    </w:p>
    <w:p w14:paraId="062296C0" w14:textId="77FDF9D8" w:rsidR="00153984" w:rsidRDefault="00153984" w:rsidP="00153984"/>
    <w:p w14:paraId="6566D937" w14:textId="50284621" w:rsidR="00153984" w:rsidRDefault="00153984" w:rsidP="00153984">
      <w:pPr>
        <w:pStyle w:val="Heading2"/>
        <w:numPr>
          <w:ilvl w:val="1"/>
          <w:numId w:val="7"/>
        </w:numPr>
      </w:pPr>
      <w:r>
        <w:t>OWASP ZAP Testing</w:t>
      </w:r>
    </w:p>
    <w:p w14:paraId="34172FDD" w14:textId="7893FCE2" w:rsidR="00153984" w:rsidRDefault="00153984" w:rsidP="00153984"/>
    <w:p w14:paraId="605974DE" w14:textId="565A2748" w:rsidR="00153984" w:rsidRDefault="00153984" w:rsidP="00153984">
      <w:pPr>
        <w:pStyle w:val="Heading2"/>
        <w:numPr>
          <w:ilvl w:val="2"/>
          <w:numId w:val="7"/>
        </w:numPr>
      </w:pPr>
      <w:r>
        <w:t>Standard Mode</w:t>
      </w:r>
    </w:p>
    <w:p w14:paraId="5BA1D583" w14:textId="6A88F30E" w:rsidR="00153984" w:rsidRDefault="00153984" w:rsidP="00153984"/>
    <w:p w14:paraId="22E15294" w14:textId="73AE19B7" w:rsidR="00153984" w:rsidRPr="00153984" w:rsidRDefault="00213F08" w:rsidP="00153984">
      <w:pPr>
        <w:pStyle w:val="Heading2"/>
        <w:numPr>
          <w:ilvl w:val="2"/>
          <w:numId w:val="7"/>
        </w:numPr>
      </w:pPr>
      <w:r>
        <w:t>Attack Mode</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326F1B05" w:rsidR="00931EF4" w:rsidRDefault="00931EF4" w:rsidP="00F770A7">
      <w:r>
        <w:t xml:space="preserve">The GO online web application game was designed to teach us how to </w:t>
      </w:r>
      <w:r w:rsidR="006B0800">
        <w:t xml:space="preserve">successfully </w:t>
      </w:r>
      <w:r>
        <w:t>implement the essential fundamentals of secure software design</w:t>
      </w:r>
      <w:r w:rsidR="00A03183">
        <w:t xml:space="preserve"> and also how to write a quality software assurance case report</w:t>
      </w:r>
      <w:r>
        <w:t xml:space="preserve">.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w:t>
      </w:r>
      <w:r w:rsidR="006B0800">
        <w:lastRenderedPageBreak/>
        <w:t xml:space="preserve">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t>Works Cited</w:t>
      </w:r>
    </w:p>
    <w:sdt>
      <w:sdtPr>
        <w:rPr>
          <w:rFonts w:asciiTheme="minorHAnsi" w:eastAsiaTheme="minorHAnsi" w:hAnsiTheme="minorHAnsi" w:cstheme="minorBidi"/>
          <w:color w:val="auto"/>
          <w:sz w:val="22"/>
          <w:szCs w:val="22"/>
        </w:rPr>
        <w:id w:val="-872461560"/>
        <w:docPartObj>
          <w:docPartGallery w:val="Bibliographies"/>
          <w:docPartUnique/>
        </w:docPartObj>
      </w:sdtPr>
      <w:sdtEndPr>
        <w:rPr>
          <w:b/>
          <w:bCs/>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4F44" w14:textId="77777777" w:rsidR="00F35991" w:rsidRDefault="00F35991" w:rsidP="001B394D">
      <w:pPr>
        <w:spacing w:after="0" w:line="240" w:lineRule="auto"/>
      </w:pPr>
      <w:r>
        <w:separator/>
      </w:r>
    </w:p>
  </w:endnote>
  <w:endnote w:type="continuationSeparator" w:id="0">
    <w:p w14:paraId="1A8A7699" w14:textId="77777777" w:rsidR="00F35991" w:rsidRDefault="00F35991"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D2AD" w14:textId="00F86731" w:rsidR="00D35A01" w:rsidRDefault="00C75E2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9B802B" wp14:editId="6C90C26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9B802B"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7E7AA8" wp14:editId="77342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7AA8"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6D89" w14:textId="77777777" w:rsidR="00F35991" w:rsidRDefault="00F35991" w:rsidP="001B394D">
      <w:pPr>
        <w:spacing w:after="0" w:line="240" w:lineRule="auto"/>
      </w:pPr>
      <w:r>
        <w:separator/>
      </w:r>
    </w:p>
  </w:footnote>
  <w:footnote w:type="continuationSeparator" w:id="0">
    <w:p w14:paraId="01BD10D2" w14:textId="77777777" w:rsidR="00F35991" w:rsidRDefault="00F35991"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D35A01" w:rsidRDefault="00E504EC">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EndPr/>
      <w:sdtContent>
        <w:r w:rsidR="00D35A01">
          <w:rPr>
            <w:rFonts w:asciiTheme="majorHAnsi" w:eastAsiaTheme="majorEastAsia" w:hAnsiTheme="majorHAnsi" w:cstheme="majorBidi"/>
            <w:color w:val="4472C4" w:themeColor="accent1"/>
            <w:sz w:val="24"/>
            <w:szCs w:val="24"/>
          </w:rPr>
          <w:t>GO Online Web Application Game</w:t>
        </w:r>
      </w:sdtContent>
    </w:sdt>
    <w:r w:rsidR="00D35A01">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35A01">
          <w:rPr>
            <w:rFonts w:asciiTheme="majorHAnsi" w:eastAsiaTheme="majorEastAsia" w:hAnsiTheme="majorHAnsi" w:cstheme="majorBidi"/>
            <w:color w:val="4472C4" w:themeColor="accent1"/>
            <w:sz w:val="24"/>
            <w:szCs w:val="24"/>
          </w:rPr>
          <w:t>ISA/SWE 681</w:t>
        </w:r>
      </w:sdtContent>
    </w:sdt>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205A5"/>
    <w:rsid w:val="00136388"/>
    <w:rsid w:val="00153984"/>
    <w:rsid w:val="00166BFD"/>
    <w:rsid w:val="001809D6"/>
    <w:rsid w:val="00182EF5"/>
    <w:rsid w:val="00185C97"/>
    <w:rsid w:val="00197552"/>
    <w:rsid w:val="00197E57"/>
    <w:rsid w:val="001A23D8"/>
    <w:rsid w:val="001B07D1"/>
    <w:rsid w:val="001B12F5"/>
    <w:rsid w:val="001B394D"/>
    <w:rsid w:val="00202587"/>
    <w:rsid w:val="00213F08"/>
    <w:rsid w:val="00216EC4"/>
    <w:rsid w:val="002273AC"/>
    <w:rsid w:val="00230501"/>
    <w:rsid w:val="00240255"/>
    <w:rsid w:val="0025765B"/>
    <w:rsid w:val="00267490"/>
    <w:rsid w:val="002A304F"/>
    <w:rsid w:val="002A77B3"/>
    <w:rsid w:val="002B0737"/>
    <w:rsid w:val="002F0AE0"/>
    <w:rsid w:val="002F6E9F"/>
    <w:rsid w:val="00305F60"/>
    <w:rsid w:val="00322675"/>
    <w:rsid w:val="003944E4"/>
    <w:rsid w:val="00397526"/>
    <w:rsid w:val="003A1EF1"/>
    <w:rsid w:val="003A2F48"/>
    <w:rsid w:val="003C714B"/>
    <w:rsid w:val="003D40CA"/>
    <w:rsid w:val="003E2AA6"/>
    <w:rsid w:val="003F4D1B"/>
    <w:rsid w:val="00423CFC"/>
    <w:rsid w:val="0046362A"/>
    <w:rsid w:val="00472B0A"/>
    <w:rsid w:val="004811F6"/>
    <w:rsid w:val="004864C1"/>
    <w:rsid w:val="004A46AE"/>
    <w:rsid w:val="004D00E3"/>
    <w:rsid w:val="004E66EB"/>
    <w:rsid w:val="00504143"/>
    <w:rsid w:val="0050624E"/>
    <w:rsid w:val="00547498"/>
    <w:rsid w:val="00552D47"/>
    <w:rsid w:val="0055792E"/>
    <w:rsid w:val="00563AB7"/>
    <w:rsid w:val="00563BBE"/>
    <w:rsid w:val="005A5A5B"/>
    <w:rsid w:val="005B2C53"/>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2589A"/>
    <w:rsid w:val="00731572"/>
    <w:rsid w:val="007348EA"/>
    <w:rsid w:val="00744594"/>
    <w:rsid w:val="007470EB"/>
    <w:rsid w:val="0075451C"/>
    <w:rsid w:val="0077317B"/>
    <w:rsid w:val="00781896"/>
    <w:rsid w:val="007A6D80"/>
    <w:rsid w:val="007C2229"/>
    <w:rsid w:val="007C357C"/>
    <w:rsid w:val="007F4203"/>
    <w:rsid w:val="0081286A"/>
    <w:rsid w:val="008142D4"/>
    <w:rsid w:val="0081713C"/>
    <w:rsid w:val="0083013F"/>
    <w:rsid w:val="00833439"/>
    <w:rsid w:val="00840397"/>
    <w:rsid w:val="00845C7E"/>
    <w:rsid w:val="00874525"/>
    <w:rsid w:val="00884A77"/>
    <w:rsid w:val="0089276D"/>
    <w:rsid w:val="008A015B"/>
    <w:rsid w:val="008C0AE4"/>
    <w:rsid w:val="008C13C1"/>
    <w:rsid w:val="009079EA"/>
    <w:rsid w:val="009168AE"/>
    <w:rsid w:val="00931EF4"/>
    <w:rsid w:val="00944B44"/>
    <w:rsid w:val="00962133"/>
    <w:rsid w:val="0096596E"/>
    <w:rsid w:val="00965E19"/>
    <w:rsid w:val="009927FF"/>
    <w:rsid w:val="009A0441"/>
    <w:rsid w:val="009B4F60"/>
    <w:rsid w:val="009D4E01"/>
    <w:rsid w:val="009E1F9A"/>
    <w:rsid w:val="00A03183"/>
    <w:rsid w:val="00A203B6"/>
    <w:rsid w:val="00A253AD"/>
    <w:rsid w:val="00A27B4A"/>
    <w:rsid w:val="00A300FE"/>
    <w:rsid w:val="00A37343"/>
    <w:rsid w:val="00A45574"/>
    <w:rsid w:val="00A46D59"/>
    <w:rsid w:val="00A56113"/>
    <w:rsid w:val="00A83901"/>
    <w:rsid w:val="00A86659"/>
    <w:rsid w:val="00A96025"/>
    <w:rsid w:val="00A96540"/>
    <w:rsid w:val="00AA0971"/>
    <w:rsid w:val="00AA6A43"/>
    <w:rsid w:val="00AB312F"/>
    <w:rsid w:val="00AB453B"/>
    <w:rsid w:val="00AD3B34"/>
    <w:rsid w:val="00AE63AB"/>
    <w:rsid w:val="00B628B7"/>
    <w:rsid w:val="00B667F4"/>
    <w:rsid w:val="00B8198C"/>
    <w:rsid w:val="00BC4EC7"/>
    <w:rsid w:val="00BD0DAB"/>
    <w:rsid w:val="00BD36EC"/>
    <w:rsid w:val="00BE4DDF"/>
    <w:rsid w:val="00BF6C3C"/>
    <w:rsid w:val="00C06BED"/>
    <w:rsid w:val="00C23D97"/>
    <w:rsid w:val="00C75E23"/>
    <w:rsid w:val="00C7715B"/>
    <w:rsid w:val="00C86ED4"/>
    <w:rsid w:val="00C9552E"/>
    <w:rsid w:val="00CA2638"/>
    <w:rsid w:val="00CC5A4C"/>
    <w:rsid w:val="00CD7439"/>
    <w:rsid w:val="00CE2F3B"/>
    <w:rsid w:val="00CF4F6E"/>
    <w:rsid w:val="00CF791E"/>
    <w:rsid w:val="00D02F2B"/>
    <w:rsid w:val="00D35A01"/>
    <w:rsid w:val="00D527BB"/>
    <w:rsid w:val="00D577D9"/>
    <w:rsid w:val="00D66B88"/>
    <w:rsid w:val="00DB44D1"/>
    <w:rsid w:val="00DC2523"/>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35991"/>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0D5C35"/>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9CB50-C1F3-4A4D-ABE6-31E3CA58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4921</Words>
  <Characters>28051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2</cp:revision>
  <dcterms:created xsi:type="dcterms:W3CDTF">2020-05-02T17:23:00Z</dcterms:created>
  <dcterms:modified xsi:type="dcterms:W3CDTF">2020-05-02T17:23:00Z</dcterms:modified>
</cp:coreProperties>
</file>