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9B007" w14:textId="77777777" w:rsidR="00622989" w:rsidRPr="00622989" w:rsidRDefault="00622989" w:rsidP="008F77EE">
      <w:pPr>
        <w:shd w:val="clear" w:color="auto" w:fill="8EAADB" w:themeFill="accent1" w:themeFillTint="99"/>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lang w:val="ru-RU"/>
        </w:rPr>
        <w:t>ФИО:</w:t>
      </w:r>
    </w:p>
    <w:p w14:paraId="0FF2E213" w14:textId="5C79032B" w:rsidR="00622989" w:rsidRPr="00622989" w:rsidRDefault="00622989" w:rsidP="008F77EE">
      <w:pPr>
        <w:shd w:val="clear" w:color="auto" w:fill="8EAADB" w:themeFill="accent1" w:themeFillTint="99"/>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lang w:val="ru-RU"/>
        </w:rPr>
        <w:t>Номер телефона:</w:t>
      </w:r>
    </w:p>
    <w:p w14:paraId="297B732C" w14:textId="777A2A8A" w:rsidR="00622989" w:rsidRDefault="00622989" w:rsidP="008F77EE">
      <w:pPr>
        <w:shd w:val="clear" w:color="auto" w:fill="8EAADB" w:themeFill="accent1" w:themeFillTint="99"/>
        <w:rPr>
          <w:rFonts w:asciiTheme="minorHAnsi" w:hAnsiTheme="minorHAnsi" w:cstheme="minorHAnsi"/>
          <w:b/>
          <w:sz w:val="20"/>
          <w:szCs w:val="20"/>
          <w:u w:val="single"/>
          <w:lang w:val="ru-RU"/>
        </w:rPr>
      </w:pPr>
      <w:r>
        <w:rPr>
          <w:rFonts w:asciiTheme="minorHAnsi" w:hAnsiTheme="minorHAnsi" w:cstheme="minorHAnsi"/>
          <w:b/>
          <w:sz w:val="20"/>
          <w:szCs w:val="20"/>
          <w:u w:val="single"/>
          <w:lang w:val="ru-RU"/>
        </w:rPr>
        <w:t>Адрес электронной почты:</w:t>
      </w:r>
    </w:p>
    <w:p w14:paraId="24BEF223" w14:textId="759D12C7" w:rsidR="00622989" w:rsidRPr="00622989" w:rsidRDefault="00622989" w:rsidP="008F77EE">
      <w:pPr>
        <w:shd w:val="clear" w:color="auto" w:fill="8EAADB" w:themeFill="accent1" w:themeFillTint="99"/>
        <w:rPr>
          <w:rFonts w:asciiTheme="minorHAnsi" w:hAnsiTheme="minorHAnsi" w:cstheme="minorHAnsi"/>
          <w:b/>
          <w:sz w:val="20"/>
          <w:szCs w:val="20"/>
          <w:u w:val="single"/>
          <w:lang w:val="ru-RU"/>
        </w:rPr>
      </w:pPr>
      <w:r>
        <w:rPr>
          <w:rFonts w:asciiTheme="minorHAnsi" w:hAnsiTheme="minorHAnsi" w:cstheme="minorHAnsi"/>
          <w:b/>
          <w:sz w:val="20"/>
          <w:szCs w:val="20"/>
          <w:u w:val="single"/>
          <w:lang w:val="ru-RU"/>
        </w:rPr>
        <w:t>Страна:</w:t>
      </w:r>
    </w:p>
    <w:p w14:paraId="7D65BBDF" w14:textId="73D7AB2C" w:rsidR="00622989" w:rsidRPr="00622989" w:rsidRDefault="00622989" w:rsidP="008F77EE">
      <w:pPr>
        <w:spacing w:after="0"/>
        <w:rPr>
          <w:rFonts w:asciiTheme="minorHAnsi" w:hAnsiTheme="minorHAnsi" w:cstheme="minorHAnsi"/>
          <w:color w:val="000000"/>
          <w:sz w:val="20"/>
          <w:szCs w:val="20"/>
          <w:lang w:val="ru-RU"/>
        </w:rPr>
      </w:pPr>
    </w:p>
    <w:tbl>
      <w:tblPr>
        <w:tblStyle w:val="a3"/>
        <w:tblW w:w="10201" w:type="dxa"/>
        <w:tblLook w:val="04A0" w:firstRow="1" w:lastRow="0" w:firstColumn="1" w:lastColumn="0" w:noHBand="0" w:noVBand="1"/>
      </w:tblPr>
      <w:tblGrid>
        <w:gridCol w:w="5240"/>
        <w:gridCol w:w="4961"/>
      </w:tblGrid>
      <w:tr w:rsidR="00622989" w:rsidRPr="00622989" w14:paraId="09100302" w14:textId="77777777" w:rsidTr="008F77EE">
        <w:tc>
          <w:tcPr>
            <w:tcW w:w="5240" w:type="dxa"/>
          </w:tcPr>
          <w:p w14:paraId="12B93767" w14:textId="05886F43" w:rsidR="00622989" w:rsidRPr="00622989" w:rsidRDefault="00622989" w:rsidP="008F77EE">
            <w:pPr>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lang w:val="ru-RU"/>
              </w:rPr>
              <w:t>Исходник</w:t>
            </w:r>
          </w:p>
          <w:p w14:paraId="5E210414" w14:textId="77777777" w:rsidR="00622989" w:rsidRDefault="00622989" w:rsidP="008F77EE">
            <w:pPr>
              <w:spacing w:after="0"/>
              <w:rPr>
                <w:rFonts w:asciiTheme="minorHAnsi" w:hAnsiTheme="minorHAnsi" w:cstheme="minorHAnsi"/>
                <w:color w:val="000000"/>
                <w:sz w:val="20"/>
                <w:szCs w:val="20"/>
                <w:lang w:val="ru-RU"/>
              </w:rPr>
            </w:pPr>
          </w:p>
          <w:p w14:paraId="44E2BD8A" w14:textId="25E664E4" w:rsidR="00622989" w:rsidRPr="00622989" w:rsidRDefault="00622989" w:rsidP="008F77EE">
            <w:pPr>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lang w:val="ru-RU"/>
              </w:rPr>
              <w:t xml:space="preserve">В соответствии со статьями 10, 2, 358 Предпринимательского кодекса от 27 октября 2013 года Правительство </w:t>
            </w:r>
            <w:r w:rsidRPr="00622989">
              <w:rPr>
                <w:rFonts w:asciiTheme="minorHAnsi" w:hAnsiTheme="minorHAnsi" w:cstheme="minorHAnsi"/>
                <w:b/>
                <w:color w:val="000000"/>
                <w:sz w:val="20"/>
                <w:szCs w:val="20"/>
                <w:lang w:val="ru-RU"/>
              </w:rPr>
              <w:t>ПОСТАНОВЛЯЕТ</w:t>
            </w:r>
            <w:r w:rsidRPr="00622989">
              <w:rPr>
                <w:rFonts w:asciiTheme="minorHAnsi" w:hAnsiTheme="minorHAnsi" w:cstheme="minorHAnsi"/>
                <w:color w:val="000000"/>
                <w:sz w:val="20"/>
                <w:szCs w:val="20"/>
                <w:lang w:val="ru-RU"/>
              </w:rPr>
              <w:t>:</w:t>
            </w:r>
          </w:p>
          <w:p w14:paraId="498E2761" w14:textId="77777777" w:rsidR="00622989" w:rsidRPr="00622989" w:rsidRDefault="00622989" w:rsidP="008F77EE">
            <w:pPr>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lang w:val="ru-RU"/>
              </w:rPr>
              <w:t>Статья 6. Законность</w:t>
            </w:r>
          </w:p>
          <w:p w14:paraId="6D89A2AE" w14:textId="77777777" w:rsidR="00622989" w:rsidRPr="00622989" w:rsidRDefault="00622989" w:rsidP="008F77EE">
            <w:pPr>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lang w:val="ru-RU"/>
              </w:rPr>
              <w:t xml:space="preserve"> </w:t>
            </w:r>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1. Суд при рассмотрении и разрешении гражданских дел обязан точно соблюдать требования Конституции Республики Казахстан, конституционных законов Республики Казахстан, настоящего Кодекса, других нормативных правовых актов, подлежащих применению международных договоров Республики Казахстан.</w:t>
            </w:r>
          </w:p>
          <w:p w14:paraId="5432E35F" w14:textId="77777777" w:rsidR="00622989" w:rsidRPr="00622989" w:rsidRDefault="00622989" w:rsidP="008F77EE">
            <w:pPr>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lang w:val="ru-RU"/>
              </w:rPr>
              <w:t xml:space="preserve"> </w:t>
            </w:r>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2. Суды не вправе применять законы и иные нормативные правовые акты, ущемляющие закрепленные Конституцией права и свободы человека и гражданина. Если суд усмотрит, что закон или иной нормативный правовой акт, подлежащий применению, ущемляет закрепленные Конституцией права и свободы человека и гражданина, он обязан приостановить производство по делу и обратиться в Конституционный Совет Республики Казахстан с представлением о признании этого акта неконституционным. По получении судом итогового решения Конституционного Совета производство по делу возобновляется.</w:t>
            </w:r>
          </w:p>
          <w:p w14:paraId="3F499E96" w14:textId="77777777" w:rsidR="00622989" w:rsidRPr="00622989" w:rsidRDefault="00622989" w:rsidP="008F77EE">
            <w:pPr>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3. Суд, установив при рассмотрении и разрешении дела несоответствие акта государственного или иного органа закону или издание его с превышением полномочий, применяет нормы закона.</w:t>
            </w:r>
          </w:p>
          <w:p w14:paraId="0655A9A0" w14:textId="77777777" w:rsidR="00622989" w:rsidRPr="00622989" w:rsidRDefault="00622989" w:rsidP="008F77EE">
            <w:pPr>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4. В случае отсутствия норм права, регулирующих спорное правоотношение, суд применяет нормы права, регулирующие сходные отношения, а при отсутствии таких норм разрешает спор исходя из общих начал и смысла законодательства Республики Казахстан.</w:t>
            </w:r>
          </w:p>
          <w:p w14:paraId="1F591D65" w14:textId="77777777" w:rsidR="00622989" w:rsidRPr="00622989" w:rsidRDefault="00622989" w:rsidP="008F77EE">
            <w:pPr>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Pr>
              <w:t>     </w:t>
            </w:r>
            <w:r w:rsidRPr="00622989">
              <w:rPr>
                <w:rFonts w:asciiTheme="minorHAnsi" w:hAnsiTheme="minorHAnsi" w:cstheme="minorHAnsi"/>
                <w:color w:val="000000"/>
                <w:sz w:val="20"/>
                <w:szCs w:val="20"/>
                <w:lang w:val="ru-RU"/>
              </w:rPr>
              <w:t xml:space="preserve"> 5. Если законом или соглашением сторон спора предусматривается разрешение соответствующих вопросов судом, суд обязан разрешать эти вопросы исходя из критериев справедливости и разумности.</w:t>
            </w:r>
          </w:p>
          <w:bookmarkEnd w:id="4"/>
          <w:p w14:paraId="38C95CFF" w14:textId="248F4C4A" w:rsidR="00622989" w:rsidRDefault="00622989" w:rsidP="008F77EE">
            <w:pPr>
              <w:rPr>
                <w:rFonts w:asciiTheme="minorHAnsi" w:hAnsiTheme="minorHAnsi" w:cstheme="minorHAnsi"/>
                <w:sz w:val="20"/>
                <w:szCs w:val="20"/>
                <w:lang w:val="ru-RU"/>
              </w:rPr>
            </w:pPr>
          </w:p>
          <w:p w14:paraId="6DFA16F1" w14:textId="77777777" w:rsidR="00622989" w:rsidRPr="00622989" w:rsidRDefault="00622989" w:rsidP="008F77EE">
            <w:pPr>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lang w:val="ru-RU"/>
              </w:rPr>
              <w:t>Статья 176.</w:t>
            </w:r>
            <w:r w:rsidRPr="00622989">
              <w:rPr>
                <w:rFonts w:ascii="Times New Roman" w:hAnsi="Times New Roman" w:cs="Times New Roman"/>
                <w:b/>
                <w:sz w:val="20"/>
                <w:szCs w:val="20"/>
                <w:lang w:val="ru-RU"/>
              </w:rPr>
              <w:t xml:space="preserve"> </w:t>
            </w:r>
          </w:p>
          <w:p w14:paraId="2E4EFCBC" w14:textId="77777777" w:rsidR="00622989" w:rsidRPr="00622989" w:rsidRDefault="00622989" w:rsidP="008F77EE">
            <w:pPr>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lang w:val="ru-RU"/>
              </w:rPr>
              <w:t xml:space="preserve">Присвоение или растрата вверенного чужого имущества </w:t>
            </w:r>
          </w:p>
          <w:p w14:paraId="27428267" w14:textId="77777777" w:rsidR="00622989" w:rsidRPr="00622989" w:rsidRDefault="00622989" w:rsidP="008F77EE">
            <w:pPr>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lang w:val="ru-RU"/>
              </w:rPr>
              <w:lastRenderedPageBreak/>
              <w:t xml:space="preserve">1. Присвоение или растрата, то есть хищение чужого имущества, вверенного виновному, - </w:t>
            </w:r>
          </w:p>
          <w:p w14:paraId="3D91758C" w14:textId="77777777" w:rsidR="00622989" w:rsidRPr="00622989" w:rsidRDefault="00622989" w:rsidP="008F77EE">
            <w:pPr>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lang w:val="ru-RU"/>
              </w:rPr>
              <w:t xml:space="preserve">наказываются штрафом в размере от двухсот до пятисот месячных расчетных показателей или в размере заработной платы или иного дохода осужденного за период от двух до пяти месяцев, либо привлечением к общественным работам на срок от ста двадцати до ста восьмидесяти часов, либо исправительными работами на срок до двух лет, либо арестом на срок до шести месяцев, либо лишением свободы на срок до трех лет. </w:t>
            </w:r>
          </w:p>
          <w:p w14:paraId="286E80BC" w14:textId="324D7B92" w:rsidR="00622989" w:rsidRDefault="00622989" w:rsidP="008F77EE">
            <w:pPr>
              <w:rPr>
                <w:rFonts w:asciiTheme="minorHAnsi" w:hAnsiTheme="minorHAnsi" w:cstheme="minorHAnsi"/>
                <w:sz w:val="20"/>
                <w:szCs w:val="20"/>
                <w:lang w:val="ru-RU"/>
              </w:rPr>
            </w:pPr>
          </w:p>
          <w:p w14:paraId="618A709F" w14:textId="170F62C6" w:rsidR="00622989" w:rsidRDefault="00622989" w:rsidP="008F77EE">
            <w:pPr>
              <w:rPr>
                <w:rFonts w:asciiTheme="minorHAnsi" w:hAnsiTheme="minorHAnsi" w:cstheme="minorHAnsi"/>
                <w:sz w:val="20"/>
                <w:szCs w:val="20"/>
                <w:lang w:val="ru-RU"/>
              </w:rPr>
            </w:pPr>
          </w:p>
          <w:p w14:paraId="444D05B2" w14:textId="77777777" w:rsidR="00622989" w:rsidRPr="00622989" w:rsidRDefault="00622989" w:rsidP="008F77EE">
            <w:pPr>
              <w:rPr>
                <w:rFonts w:asciiTheme="minorHAnsi" w:hAnsiTheme="minorHAnsi" w:cstheme="minorHAnsi"/>
                <w:sz w:val="20"/>
                <w:szCs w:val="20"/>
                <w:lang w:val="ru-RU"/>
              </w:rPr>
            </w:pPr>
          </w:p>
          <w:p w14:paraId="312F877B" w14:textId="77777777" w:rsidR="00622989" w:rsidRPr="00622989" w:rsidRDefault="00622989" w:rsidP="008F77EE">
            <w:pPr>
              <w:spacing w:after="0"/>
              <w:rPr>
                <w:rFonts w:asciiTheme="minorHAnsi" w:hAnsiTheme="minorHAnsi" w:cstheme="minorHAnsi"/>
                <w:color w:val="000000"/>
                <w:sz w:val="20"/>
                <w:szCs w:val="20"/>
                <w:lang w:val="ru-RU"/>
              </w:rPr>
            </w:pPr>
          </w:p>
        </w:tc>
        <w:tc>
          <w:tcPr>
            <w:tcW w:w="4961" w:type="dxa"/>
          </w:tcPr>
          <w:p w14:paraId="076D5985" w14:textId="3E378262" w:rsidR="00622989" w:rsidRPr="00622989" w:rsidRDefault="00622989" w:rsidP="008F77EE">
            <w:pPr>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lang w:val="ru-RU"/>
              </w:rPr>
              <w:lastRenderedPageBreak/>
              <w:t>Перевод</w:t>
            </w:r>
            <w:bookmarkStart w:id="5" w:name="_GoBack"/>
            <w:bookmarkEnd w:id="5"/>
          </w:p>
        </w:tc>
      </w:tr>
    </w:tbl>
    <w:p w14:paraId="33CEA0A2" w14:textId="77777777" w:rsidR="00622989" w:rsidRPr="00622989" w:rsidRDefault="00622989" w:rsidP="008F77EE">
      <w:pPr>
        <w:spacing w:after="0"/>
        <w:rPr>
          <w:rFonts w:asciiTheme="minorHAnsi" w:hAnsiTheme="minorHAnsi" w:cstheme="minorHAnsi"/>
          <w:color w:val="000000"/>
          <w:sz w:val="20"/>
          <w:szCs w:val="20"/>
          <w:lang w:val="ru-RU"/>
        </w:rPr>
      </w:pPr>
    </w:p>
    <w:p w14:paraId="7266F173" w14:textId="77777777" w:rsidR="00622989" w:rsidRPr="00622989" w:rsidRDefault="00622989" w:rsidP="008F77EE">
      <w:pPr>
        <w:spacing w:after="0"/>
        <w:rPr>
          <w:rFonts w:asciiTheme="minorHAnsi" w:hAnsiTheme="minorHAnsi" w:cstheme="minorHAnsi"/>
          <w:color w:val="000000"/>
          <w:sz w:val="20"/>
          <w:szCs w:val="20"/>
          <w:lang w:val="ru-RU"/>
        </w:rPr>
      </w:pPr>
    </w:p>
    <w:p w14:paraId="02E02C7E" w14:textId="77777777" w:rsidR="00622989" w:rsidRPr="00622989" w:rsidRDefault="00622989" w:rsidP="008F77EE">
      <w:pPr>
        <w:rPr>
          <w:rFonts w:asciiTheme="minorHAnsi" w:hAnsiTheme="minorHAnsi" w:cstheme="minorHAnsi"/>
          <w:sz w:val="20"/>
          <w:szCs w:val="20"/>
          <w:lang w:val="ru-RU"/>
        </w:rPr>
      </w:pPr>
    </w:p>
    <w:sectPr w:rsidR="00622989" w:rsidRPr="00622989"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D3"/>
    <w:rsid w:val="001D7E6C"/>
    <w:rsid w:val="002B4CD3"/>
    <w:rsid w:val="00622989"/>
    <w:rsid w:val="008F77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9A412"/>
  <w15:chartTrackingRefBased/>
  <w15:docId w15:val="{34531256-791A-40A2-B420-37E517C4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7E6C"/>
    <w:pPr>
      <w:spacing w:after="200" w:line="276" w:lineRule="auto"/>
    </w:pPr>
    <w:rPr>
      <w:rFonts w:ascii="Consolas" w:eastAsia="Consolas" w:hAnsi="Consolas" w:cs="Consolas"/>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a0"/>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Акшолпан Шокаева</dc:creator>
  <cp:keywords/>
  <dc:description/>
  <cp:lastModifiedBy>Акшолпан Шокаева</cp:lastModifiedBy>
  <cp:revision>6</cp:revision>
  <dcterms:created xsi:type="dcterms:W3CDTF">2018-10-10T09:39:00Z</dcterms:created>
  <dcterms:modified xsi:type="dcterms:W3CDTF">2018-10-10T09:44:00Z</dcterms:modified>
</cp:coreProperties>
</file>