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Enterprise Code, dated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Legitimateness</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when considering and resolving civil cases, is obliged to strictly comply with the requirements of the Constitution of the Republic of Kazakhstan, constitutional laws of the Republic of Kazakhstan, this Code, and other regulatory legal acts subject to the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Upon the court’s receipt of the final decision of the Constitutional Council, the proceedings are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when establishing and reviewing a case, a non-compliance of an act of a state or other body with the law or issuing it in excess of powers, applies the norms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disputed relationship, the court applies the rules of law governing similar relationships,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by agreement of the parties to the dispute provides for the resolution of relevant issues by the court, the court is obliged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Assignment or misapplication of entrusted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misapplication, that is, the theft of another's property entrusted to the guilty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in the amount of from two hundred to five hundred monthly calculation indices or in the amount of the salary or other income of the convict for a period of two to five months, or by engaging in public works for a period of one hundred twenty to one hundred eighty hours, or correctional labor for up to two years, or arrest for up to six months, or imprisonment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