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 address:</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Source code</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10, 2,358 of the Entrepreneurial Code of October 27, 2013, the Government </w:t>
            </w:r>
            <w:r w:rsidRPr="00622989">
              <w:rPr>
                <w:rFonts w:asciiTheme="minorHAnsi" w:hAnsiTheme="minorHAnsi" w:cstheme="minorHAnsi"/>
                <w:b/>
                <w:color w:val="000000"/>
                <w:sz w:val="20"/>
                <w:szCs w:val="20"/>
                <w:rtl w:val="0"/>
                <w:lang w:val="en-US"/>
              </w:rPr>
              <w:t>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Legality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The court, when considering and resolving civil cases, is obliged to strictly comply with the requirements of the Constitution of the Republic of Kazakhstan, the constitutional laws of the Republic of Kazakhstan, this Code of other regulatory legal acts subject to application of international treaties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are not entitled to apply laws and other regulatory legal acts that infringe the rights and freedoms of a person and citizen enshrined in the Constitution. If the court finds that a law or other regulatory legal act to be applied infringes upon the rights and freedoms of an individual and citizen enshrined in the Constitution, he is obliged to suspend the proceedings and apply to the Constitutional Council of the Republic of Kazakhstan with a view to declare this act unconstitutional. Upon the court's receipt of the final decision of the Constitutional Council, the proceedings are resumed.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The court, having established when considering and resolving a case, the inconsistency of an act of a state or other body with the law or issuing it in excess of powers, applies the provisions of the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rules of law governing the controversial relationship, and in the absence of such rules resolves the dispute based on the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law or by agreement of the parties to the dispute provides for the resolution of relevant issues by the court, the court is obliged to resolve these issues based on the criteria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Assignment or waste of the entrusted property of others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Assignment or embezzlement, that is, theft of another's property entrusted to the guilty,-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shall be punished with a fine in the amount of two hundred monthly calculated indicators or in the amount of the salary or other income of the convicted person for a period from two to five months, or by engaging in public works for period of one hundred twenty to one hundred eighty hours, either by correctional labor for up to two or by arrest for up to six months, or by imprisonment for up to free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