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Name:</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Telephone number:</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E-mail:</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Country:</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Source</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In accordance with the articles 10, 2, 358 of the Commercial Code, dated October 27, 2013, the Government </w:t>
            </w:r>
            <w:r w:rsidRPr="00622989">
              <w:rPr>
                <w:rFonts w:asciiTheme="minorHAnsi" w:hAnsiTheme="minorHAnsi" w:cstheme="minorHAnsi"/>
                <w:b/>
                <w:color w:val="000000"/>
                <w:sz w:val="20"/>
                <w:szCs w:val="20"/>
                <w:rtl w:val="0"/>
                <w:lang w:val="en-US"/>
              </w:rPr>
              <w:t>HAS DECIDED</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Legitimacy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 The court, in examining civil cases, shall comply with the requirements of the Constitution of the Republic of Kazakhstan, its constitutional laws, the Code, and other regulatory legal documents ensuring the implementation of international agreements of the Republic of Kazakhstan.</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The court shall not implement laws and other regulatory legal documents infringing on human and civil rights and freedoms, stipulated in the Constitution. In case the Court finds that a law or other applicable regulatory legal act infringes on human and civil rights and freedoms, it shall suspend the case and appeal to the Constitutional Council of the Republic of Kazakhstan with a proposal to declare the act unconstitutional. Upon receiving the final decision of the Constitutional Council, the Court shall resume the case proceedings.</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When in case proceedings it is established that a legal act of state or other bodies does not comply with the law, or it is published with an abuse of authority, the Court shall act according to provisions of law.</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the absence of provisions of law regulating contentious relations, the Court shall act according to the provisions of law regulating similar relations; in the absence of such provisions, it shall settle disputes based on general legislative principles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In case the settlement of such disputes is specified by law or by mutual agreement of the parties, the Court shall settle the dispute based on the principles of fairness and reasonableness.</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Misappropriation or embezzlement of another person’s property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Misappropriation or embezzlement, a theft of another’s property entrusted to the convicted person,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shall be punished by a fine of 200 to 500 MCI (Monthly Calculation Index), salary, or any other income for two to five months; or by community work for a period of up to two years or detention for up to six months; or by deprivation of liberty for up to three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