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 address:</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Original</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Under the articles 10, 2, 358 of the Commercial code dated 27th of October 2013 the Government </w:t>
            </w:r>
            <w:r w:rsidRPr="00622989">
              <w:rPr>
                <w:rFonts w:asciiTheme="minorHAnsi" w:hAnsiTheme="minorHAnsi" w:cstheme="minorHAnsi"/>
                <w:b/>
                <w:color w:val="000000"/>
                <w:sz w:val="20"/>
                <w:szCs w:val="20"/>
                <w:rtl w:val="0"/>
                <w:lang w:val="en-US"/>
              </w:rPr>
              <w:t>renders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During trial and decision of civil cases the court must follow carefully requirements of the Constitution of Republic of Kazakhstan, constitutional laws of Republic of Kazakhstan, present Code, other laws and regulations, applicable international treaties of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may not apply laws and other regulations that restrict the human rights and freedoms of an individual and a citizen established by the Constitution. If the court finds that a law or other applicable regulation restricts established by the Constitution rights and freedoms of an individual and a citizen, it must suspend legal proceedings and to submit to the Constitutional Council of Republic of Kazakhstan a proposal to declare that law unconstitutional. Upon receipt by the court of the final decision of the Constitutional Council proceedings resume.</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During trial and decision of a case the court applies provisions of the law having determined that an act of a government or other body is not in conformity with a law or its issuance goes with an abuse of authority.</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When faced with the absence of the law provisions regulating contentious legal relationship, the court applies provisions of the law regulating similar relationship and in the absence of such provisions settles a matter based on the general principles and spirit of the legislation of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When the law or the agreement of the disputing parties grants grounds for settlement of the relevant issues by a court, the court must settle these issues on the basis of equitable and reasonable criteria.</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or embezzlement of entrusted property of another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embezzlement which means theft of property of another entrusted to the convicted person,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punished with a fine of two hundred to five hundred of monthly accounting indexes or in an amount of the convicted person's wage or other income for two to five month, or community service for the period of one hundred twenty to one hundred eighty hours, or corrective work for the period of two years, or arrest for up to six month, or imprisonment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