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FULL 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 address:</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Source code</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with Articles 10, 2, 358 of the Enterprise Code of October 27, 2013, the Government </w:t>
            </w:r>
            <w:r w:rsidRPr="00622989">
              <w:rPr>
                <w:rFonts w:asciiTheme="minorHAnsi" w:hAnsiTheme="minorHAnsi" w:cstheme="minorHAnsi"/>
                <w:b/>
                <w:color w:val="000000"/>
                <w:sz w:val="20"/>
                <w:szCs w:val="20"/>
                <w:rtl w:val="0"/>
                <w:lang w:val="en-US"/>
              </w:rPr>
              <w:t>DECIDES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Legality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The court, when considering and resolving civil cases is obliged to strictly comply with the requirements of the Constitution of the Republic of Kazakhstan, constitutional laws of the Republic of Kazakhstan, this Code and other regulatory legal acts subject to the application of international treaties of the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The courts are not entitled to apply laws and other legislation that restrict the human rights and freedoms or the rights of citizens enshrined in the Constitution. If the court finds that a law or other regulatory legal act to be applied infringes upon the rights and freedoms of an individual and citizen enshrined in the Constitution, he is obliged to suspend the proceedings and apply to the Constitutional Council of the Republic of Kazakhstan with a view to declare this act unconstitutional. The proceedings are resumed upon the court’s receipt of the final decision of the Constitutional Council.</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The court upon establishing and reviewing a case of non-compliance of an act of a state or other body with the law or issuing it in excess of powers, applies the norms of the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rules of law governing the disputed relationship, the court applies the rules of law governing similar relationships and in the absence of such rules resolves the dispute based on the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the law or by agreement of the parties to the dispute provides for the resolution of relevant issues by the court, the court is obliged to resolve these issues based on the criteria of fairness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Assignment or waste of entrusted property of others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Assignment or waste, that is the theft of another's property entrusted to the guilty, -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is punished with a fine in the amount of from two hundred to five hundred monthly calculation indices or in the amount of the salary or other income of the convict for a period of two to five months, or by engaging in public works for a period of one hundred twenty to one hundred eighty hours, or correctional labor for up to two years, or arrest for up to six months, or imprisonment for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