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SNP:</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 adress:</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Enterprise Code of October 27,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at considering and resolving civil cases, is obliged to strictly comply with the requirements of the Constitution of the Republic of Kazakhstan, constitutional laws of the Republic of Kazakhstan, this Code, and other regulatory legal acts subject to the application of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regulatory legal acts that infringe the rights and freedoms of a person and citizen enshrined in the Constitution. If the court finds that a law or other regulatory legal act to be applied infringes upon the rights and freedoms of an individual and citizen enshrined in the Constitution, it is obliged to suspend the proceedings and apply to the Constitutional Council of the Republic of Kazakhstan with a view to declare this act unconstitutional. Upon the court’s receipt of the final decision of the Constitutional Council, the proceeding is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The court, having established when considering and resolving a case, the inconsistency of an act of a state or other agency with the law or issuing it in excess of powers, applies the norms of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rules of law governing the disputed relationship, the court applies the rules of law governing similar relationships, and in the absence of such rules resolves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by agreement of the parties to the dispute provides for the resolution of relevant issues by the court, the court is obliged to resolve these issues based on the measures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Assignment or waste of entrusted property of others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Assignment or waste, that is, the theft of another's property entrusted to the guilty,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punished with a fine in the amount of two hundred to five hundred monthly calculated indicators or in the amount of the salary or other income of the convicted person for a period from two to five months, or by engaging in community work for from one hundred and twenty to one hundred and eighty hours, either by correctional labor for up to two years, or by arrest for up to six months, or by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Translate</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