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Telephone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Enterprise Code dated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 xml:space="preserve">Article 6.  Legitimacy </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During considering and mediation of civil cases, Court must respect the requirements of the Constitution of Republic of Kazakhstan, the constitutional laws of Republic of Kazakhstan, the present Code, other regulations, implemented international treaties of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Upon the court’s receipt of the final decision of the Constitutional Council, the proceedings are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Establishing by the court the inconsistency of an act of a state or other body with the law or issuing it in excess of powers, while considering and resolving a case applies the norms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case of the absence of rules of law governing the controversial relationship, the court applies the rules of law governing similar relationships,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by the law or by agreement of the parties to the dispute provides for the resolution of relevant issues by the court, the court is obliged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Assignment or waste of entrusted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Assignment or waste, that is, the theft of another's property entrusted to the guilty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in the amount from two hundred to five hundred monthly calculation indices or in the amount of the salary or other income of the convict for a period of two to five months, or by engaging in public works for a period of one hundred twenty to one hundred eighty hours, or correctional labor for up to two years, or arrest for up to six months,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