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601" w:rsidRPr="00010E21" w:rsidRDefault="0091763E" w:rsidP="0091763E">
      <w:pPr>
        <w:jc w:val="center"/>
        <w:rPr>
          <w:rFonts w:cstheme="minorHAnsi"/>
          <w:b/>
          <w:sz w:val="24"/>
          <w:szCs w:val="24"/>
        </w:rPr>
      </w:pPr>
      <w:bookmarkStart w:id="0" w:name="_GoBack"/>
      <w:bookmarkEnd w:id="0"/>
      <w:r w:rsidRPr="00010E21">
        <w:rPr>
          <w:rFonts w:cstheme="minorHAnsi"/>
          <w:b/>
          <w:sz w:val="24"/>
          <w:szCs w:val="24"/>
        </w:rPr>
        <w:t>Camel Analysis for Meezan Bank Limited</w:t>
      </w:r>
    </w:p>
    <w:p w:rsidR="0091763E" w:rsidRDefault="0091763E" w:rsidP="0091763E">
      <w:pPr>
        <w:jc w:val="right"/>
        <w:rPr>
          <w:rFonts w:cstheme="minorHAnsi"/>
          <w:b/>
          <w:sz w:val="24"/>
          <w:szCs w:val="24"/>
        </w:rPr>
      </w:pPr>
      <w:r w:rsidRPr="00010E21">
        <w:rPr>
          <w:rFonts w:cstheme="minorHAnsi"/>
          <w:b/>
          <w:sz w:val="24"/>
          <w:szCs w:val="24"/>
        </w:rPr>
        <w:t xml:space="preserve"> </w:t>
      </w:r>
    </w:p>
    <w:p w:rsidR="00010E21" w:rsidRPr="00010E21" w:rsidRDefault="00010E21" w:rsidP="0091763E">
      <w:pPr>
        <w:jc w:val="right"/>
        <w:rPr>
          <w:rFonts w:cstheme="minorHAnsi"/>
          <w:b/>
          <w:sz w:val="24"/>
          <w:szCs w:val="24"/>
        </w:rPr>
      </w:pPr>
      <w:r>
        <w:rPr>
          <w:rFonts w:cstheme="minorHAnsi"/>
          <w:b/>
          <w:sz w:val="24"/>
          <w:szCs w:val="24"/>
        </w:rPr>
        <w:t>BSAF 7B</w:t>
      </w:r>
    </w:p>
    <w:p w:rsidR="0091763E" w:rsidRPr="00010E21" w:rsidRDefault="0091763E" w:rsidP="0091763E">
      <w:pPr>
        <w:jc w:val="right"/>
        <w:rPr>
          <w:rFonts w:cstheme="minorHAnsi"/>
          <w:b/>
          <w:sz w:val="24"/>
          <w:szCs w:val="24"/>
        </w:rPr>
      </w:pPr>
      <w:proofErr w:type="spellStart"/>
      <w:r w:rsidRPr="00010E21">
        <w:rPr>
          <w:rFonts w:cstheme="minorHAnsi"/>
          <w:b/>
          <w:sz w:val="24"/>
          <w:szCs w:val="24"/>
        </w:rPr>
        <w:t>Murtaza</w:t>
      </w:r>
      <w:proofErr w:type="spellEnd"/>
      <w:r w:rsidRPr="00010E21">
        <w:rPr>
          <w:rFonts w:cstheme="minorHAnsi"/>
          <w:b/>
          <w:sz w:val="24"/>
          <w:szCs w:val="24"/>
        </w:rPr>
        <w:t xml:space="preserve"> Ahmad Butt</w:t>
      </w:r>
      <w:r w:rsidR="00010E21">
        <w:rPr>
          <w:rFonts w:cstheme="minorHAnsi"/>
          <w:b/>
          <w:sz w:val="24"/>
          <w:szCs w:val="24"/>
        </w:rPr>
        <w:t xml:space="preserve"> (1747185)</w:t>
      </w:r>
    </w:p>
    <w:p w:rsidR="0091763E" w:rsidRPr="00010E21" w:rsidRDefault="0091763E" w:rsidP="0091763E">
      <w:pPr>
        <w:jc w:val="right"/>
        <w:rPr>
          <w:rFonts w:cstheme="minorHAnsi"/>
          <w:b/>
          <w:sz w:val="24"/>
          <w:szCs w:val="24"/>
        </w:rPr>
      </w:pPr>
    </w:p>
    <w:p w:rsidR="0091763E" w:rsidRPr="00010E21" w:rsidRDefault="0091763E" w:rsidP="0091763E">
      <w:pPr>
        <w:rPr>
          <w:rFonts w:cstheme="minorHAnsi"/>
          <w:sz w:val="24"/>
          <w:szCs w:val="24"/>
        </w:rPr>
      </w:pPr>
    </w:p>
    <w:p w:rsidR="0091763E" w:rsidRPr="00010E21" w:rsidRDefault="0091763E" w:rsidP="0091763E">
      <w:pPr>
        <w:rPr>
          <w:rFonts w:cstheme="minorHAnsi"/>
          <w:sz w:val="24"/>
          <w:szCs w:val="24"/>
        </w:rPr>
      </w:pPr>
      <w:r w:rsidRPr="00010E21">
        <w:rPr>
          <w:rFonts w:cstheme="minorHAnsi"/>
          <w:sz w:val="24"/>
          <w:szCs w:val="24"/>
        </w:rPr>
        <w:t>Capital Adequacy:</w:t>
      </w:r>
    </w:p>
    <w:p w:rsidR="0091763E" w:rsidRPr="00010E21" w:rsidRDefault="0091763E" w:rsidP="0091763E">
      <w:pPr>
        <w:rPr>
          <w:rFonts w:cstheme="minorHAnsi"/>
          <w:color w:val="111111"/>
          <w:sz w:val="24"/>
          <w:szCs w:val="24"/>
          <w:shd w:val="clear" w:color="auto" w:fill="FFFFFF"/>
        </w:rPr>
      </w:pPr>
      <w:r w:rsidRPr="00010E21">
        <w:rPr>
          <w:rFonts w:cstheme="minorHAnsi"/>
          <w:color w:val="111111"/>
          <w:sz w:val="24"/>
          <w:szCs w:val="24"/>
          <w:shd w:val="clear" w:color="auto" w:fill="FFFFFF"/>
        </w:rPr>
        <w:t>The capital adequacy ratio (CAR) is a measurement of a bank's available capital expressed as a percentage of a bank's risk-weighted credit exposures. The capital adequacy ratio, also known as capital-to-risk weighted assets ratio (CRAR), is used to protect depositors and promote the stability and efficiency of financial systems around the world. Two types of capital are measured: </w:t>
      </w:r>
      <w:r w:rsidRPr="00010E21">
        <w:rPr>
          <w:rFonts w:cstheme="minorHAnsi"/>
          <w:sz w:val="24"/>
          <w:szCs w:val="24"/>
          <w:shd w:val="clear" w:color="auto" w:fill="FFFFFF"/>
        </w:rPr>
        <w:t>tier-1 capital</w:t>
      </w:r>
      <w:r w:rsidRPr="00010E21">
        <w:rPr>
          <w:rFonts w:cstheme="minorHAnsi"/>
          <w:color w:val="111111"/>
          <w:sz w:val="24"/>
          <w:szCs w:val="24"/>
          <w:shd w:val="clear" w:color="auto" w:fill="FFFFFF"/>
        </w:rPr>
        <w:t>, which can absorb losses without a bank being required to cease trading, and </w:t>
      </w:r>
      <w:r w:rsidRPr="00010E21">
        <w:rPr>
          <w:rFonts w:cstheme="minorHAnsi"/>
          <w:sz w:val="24"/>
          <w:szCs w:val="24"/>
          <w:shd w:val="clear" w:color="auto" w:fill="FFFFFF"/>
        </w:rPr>
        <w:t>tier-2 capital</w:t>
      </w:r>
      <w:r w:rsidRPr="00010E21">
        <w:rPr>
          <w:rFonts w:cstheme="minorHAnsi"/>
          <w:color w:val="111111"/>
          <w:sz w:val="24"/>
          <w:szCs w:val="24"/>
          <w:shd w:val="clear" w:color="auto" w:fill="FFFFFF"/>
        </w:rPr>
        <w:t>, which can absorb losses in the event of a winding-up and so provides a lesser degree of protection to depositors.</w:t>
      </w:r>
    </w:p>
    <w:tbl>
      <w:tblPr>
        <w:tblStyle w:val="TableGrid"/>
        <w:tblW w:w="0" w:type="auto"/>
        <w:tblLook w:val="04A0" w:firstRow="1" w:lastRow="0" w:firstColumn="1" w:lastColumn="0" w:noHBand="0" w:noVBand="1"/>
      </w:tblPr>
      <w:tblGrid>
        <w:gridCol w:w="3211"/>
        <w:gridCol w:w="3187"/>
        <w:gridCol w:w="595"/>
        <w:gridCol w:w="595"/>
        <w:gridCol w:w="595"/>
        <w:gridCol w:w="572"/>
        <w:gridCol w:w="595"/>
      </w:tblGrid>
      <w:tr w:rsidR="0091763E" w:rsidRPr="00010E21" w:rsidTr="0091763E">
        <w:trPr>
          <w:trHeight w:val="255"/>
        </w:trPr>
        <w:tc>
          <w:tcPr>
            <w:tcW w:w="5300" w:type="dxa"/>
            <w:noWrap/>
            <w:hideMark/>
          </w:tcPr>
          <w:p w:rsidR="0091763E" w:rsidRPr="00010E21" w:rsidRDefault="0091763E">
            <w:pPr>
              <w:rPr>
                <w:rFonts w:cstheme="minorHAnsi"/>
                <w:sz w:val="24"/>
                <w:szCs w:val="24"/>
              </w:rPr>
            </w:pPr>
            <w:r w:rsidRPr="00010E21">
              <w:rPr>
                <w:rFonts w:cstheme="minorHAnsi"/>
                <w:sz w:val="24"/>
                <w:szCs w:val="24"/>
              </w:rPr>
              <w:t xml:space="preserve">Capital </w:t>
            </w:r>
            <w:r w:rsidR="00E74F54" w:rsidRPr="00010E21">
              <w:rPr>
                <w:rFonts w:cstheme="minorHAnsi"/>
                <w:sz w:val="24"/>
                <w:szCs w:val="24"/>
              </w:rPr>
              <w:t>Adequacy</w:t>
            </w:r>
            <w:r w:rsidRPr="00010E21">
              <w:rPr>
                <w:rFonts w:cstheme="minorHAnsi"/>
                <w:sz w:val="24"/>
                <w:szCs w:val="24"/>
              </w:rPr>
              <w:t xml:space="preserve"> Ratio</w:t>
            </w:r>
          </w:p>
        </w:tc>
        <w:tc>
          <w:tcPr>
            <w:tcW w:w="5260" w:type="dxa"/>
            <w:noWrap/>
            <w:hideMark/>
          </w:tcPr>
          <w:p w:rsidR="0091763E" w:rsidRPr="00010E21" w:rsidRDefault="0091763E">
            <w:pPr>
              <w:rPr>
                <w:rFonts w:cstheme="minorHAnsi"/>
                <w:sz w:val="24"/>
                <w:szCs w:val="24"/>
              </w:rPr>
            </w:pPr>
            <w:r w:rsidRPr="00010E21">
              <w:rPr>
                <w:rFonts w:cstheme="minorHAnsi"/>
                <w:sz w:val="24"/>
                <w:szCs w:val="24"/>
              </w:rPr>
              <w:t> </w:t>
            </w:r>
          </w:p>
        </w:tc>
        <w:tc>
          <w:tcPr>
            <w:tcW w:w="860" w:type="dxa"/>
            <w:noWrap/>
            <w:hideMark/>
          </w:tcPr>
          <w:p w:rsidR="0091763E" w:rsidRPr="00010E21" w:rsidRDefault="0091763E">
            <w:pPr>
              <w:rPr>
                <w:rFonts w:cstheme="minorHAnsi"/>
                <w:sz w:val="24"/>
                <w:szCs w:val="24"/>
              </w:rPr>
            </w:pPr>
            <w:r w:rsidRPr="00010E21">
              <w:rPr>
                <w:rFonts w:cstheme="minorHAnsi"/>
                <w:sz w:val="24"/>
                <w:szCs w:val="24"/>
              </w:rPr>
              <w:t> </w:t>
            </w:r>
          </w:p>
        </w:tc>
        <w:tc>
          <w:tcPr>
            <w:tcW w:w="860" w:type="dxa"/>
            <w:noWrap/>
            <w:hideMark/>
          </w:tcPr>
          <w:p w:rsidR="0091763E" w:rsidRPr="00010E21" w:rsidRDefault="0091763E">
            <w:pPr>
              <w:rPr>
                <w:rFonts w:cstheme="minorHAnsi"/>
                <w:sz w:val="24"/>
                <w:szCs w:val="24"/>
              </w:rPr>
            </w:pPr>
            <w:r w:rsidRPr="00010E21">
              <w:rPr>
                <w:rFonts w:cstheme="minorHAnsi"/>
                <w:sz w:val="24"/>
                <w:szCs w:val="24"/>
              </w:rPr>
              <w:t> </w:t>
            </w:r>
          </w:p>
        </w:tc>
        <w:tc>
          <w:tcPr>
            <w:tcW w:w="860" w:type="dxa"/>
            <w:noWrap/>
            <w:hideMark/>
          </w:tcPr>
          <w:p w:rsidR="0091763E" w:rsidRPr="00010E21" w:rsidRDefault="0091763E">
            <w:pPr>
              <w:rPr>
                <w:rFonts w:cstheme="minorHAnsi"/>
                <w:sz w:val="24"/>
                <w:szCs w:val="24"/>
              </w:rPr>
            </w:pPr>
            <w:r w:rsidRPr="00010E21">
              <w:rPr>
                <w:rFonts w:cstheme="minorHAnsi"/>
                <w:sz w:val="24"/>
                <w:szCs w:val="24"/>
              </w:rPr>
              <w:t> </w:t>
            </w:r>
          </w:p>
        </w:tc>
        <w:tc>
          <w:tcPr>
            <w:tcW w:w="820" w:type="dxa"/>
            <w:noWrap/>
            <w:hideMark/>
          </w:tcPr>
          <w:p w:rsidR="0091763E" w:rsidRPr="00010E21" w:rsidRDefault="0091763E">
            <w:pPr>
              <w:rPr>
                <w:rFonts w:cstheme="minorHAnsi"/>
                <w:sz w:val="24"/>
                <w:szCs w:val="24"/>
              </w:rPr>
            </w:pPr>
            <w:r w:rsidRPr="00010E21">
              <w:rPr>
                <w:rFonts w:cstheme="minorHAnsi"/>
                <w:sz w:val="24"/>
                <w:szCs w:val="24"/>
              </w:rPr>
              <w:t> </w:t>
            </w:r>
          </w:p>
        </w:tc>
        <w:tc>
          <w:tcPr>
            <w:tcW w:w="860" w:type="dxa"/>
            <w:noWrap/>
            <w:hideMark/>
          </w:tcPr>
          <w:p w:rsidR="0091763E" w:rsidRPr="00010E21" w:rsidRDefault="0091763E">
            <w:pPr>
              <w:rPr>
                <w:rFonts w:cstheme="minorHAnsi"/>
                <w:sz w:val="24"/>
                <w:szCs w:val="24"/>
              </w:rPr>
            </w:pPr>
            <w:r w:rsidRPr="00010E21">
              <w:rPr>
                <w:rFonts w:cstheme="minorHAnsi"/>
                <w:sz w:val="24"/>
                <w:szCs w:val="24"/>
              </w:rPr>
              <w:t> </w:t>
            </w:r>
          </w:p>
        </w:tc>
      </w:tr>
      <w:tr w:rsidR="0091763E" w:rsidRPr="00010E21" w:rsidTr="0091763E">
        <w:trPr>
          <w:trHeight w:val="315"/>
        </w:trPr>
        <w:tc>
          <w:tcPr>
            <w:tcW w:w="5300" w:type="dxa"/>
            <w:noWrap/>
            <w:hideMark/>
          </w:tcPr>
          <w:p w:rsidR="0091763E" w:rsidRPr="00010E21" w:rsidRDefault="0091763E">
            <w:pPr>
              <w:rPr>
                <w:rFonts w:cstheme="minorHAnsi"/>
                <w:sz w:val="24"/>
                <w:szCs w:val="24"/>
              </w:rPr>
            </w:pPr>
            <w:r w:rsidRPr="00010E21">
              <w:rPr>
                <w:rFonts w:cstheme="minorHAnsi"/>
                <w:sz w:val="24"/>
                <w:szCs w:val="24"/>
              </w:rPr>
              <w:t>Capital to Assets Ratios</w:t>
            </w:r>
          </w:p>
        </w:tc>
        <w:tc>
          <w:tcPr>
            <w:tcW w:w="5260" w:type="dxa"/>
            <w:noWrap/>
            <w:hideMark/>
          </w:tcPr>
          <w:p w:rsidR="0091763E" w:rsidRPr="00010E21" w:rsidRDefault="0091763E">
            <w:pPr>
              <w:rPr>
                <w:rFonts w:cstheme="minorHAnsi"/>
                <w:sz w:val="24"/>
                <w:szCs w:val="24"/>
              </w:rPr>
            </w:pPr>
            <w:r w:rsidRPr="00010E21">
              <w:rPr>
                <w:rFonts w:cstheme="minorHAnsi"/>
                <w:sz w:val="24"/>
                <w:szCs w:val="24"/>
              </w:rPr>
              <w:t>Total Equity/Total Assets</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5.3%</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4.3%</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4.5%</w:t>
            </w:r>
          </w:p>
        </w:tc>
        <w:tc>
          <w:tcPr>
            <w:tcW w:w="820" w:type="dxa"/>
            <w:noWrap/>
            <w:hideMark/>
          </w:tcPr>
          <w:p w:rsidR="0091763E" w:rsidRPr="00010E21" w:rsidRDefault="0091763E" w:rsidP="0091763E">
            <w:pPr>
              <w:rPr>
                <w:rFonts w:cstheme="minorHAnsi"/>
                <w:sz w:val="24"/>
                <w:szCs w:val="24"/>
              </w:rPr>
            </w:pPr>
            <w:r w:rsidRPr="00010E21">
              <w:rPr>
                <w:rFonts w:cstheme="minorHAnsi"/>
                <w:sz w:val="24"/>
                <w:szCs w:val="24"/>
              </w:rPr>
              <w:t>4.6%</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5.0%</w:t>
            </w:r>
          </w:p>
        </w:tc>
      </w:tr>
      <w:tr w:rsidR="0091763E" w:rsidRPr="00010E21" w:rsidTr="0091763E">
        <w:trPr>
          <w:trHeight w:val="315"/>
        </w:trPr>
        <w:tc>
          <w:tcPr>
            <w:tcW w:w="5300" w:type="dxa"/>
            <w:noWrap/>
            <w:hideMark/>
          </w:tcPr>
          <w:p w:rsidR="0091763E" w:rsidRPr="00010E21" w:rsidRDefault="0091763E">
            <w:pPr>
              <w:rPr>
                <w:rFonts w:cstheme="minorHAnsi"/>
                <w:sz w:val="24"/>
                <w:szCs w:val="24"/>
              </w:rPr>
            </w:pPr>
            <w:r w:rsidRPr="00010E21">
              <w:rPr>
                <w:rFonts w:cstheme="minorHAnsi"/>
                <w:sz w:val="24"/>
                <w:szCs w:val="24"/>
              </w:rPr>
              <w:t>Common equity to Total capital</w:t>
            </w:r>
          </w:p>
        </w:tc>
        <w:tc>
          <w:tcPr>
            <w:tcW w:w="5260" w:type="dxa"/>
            <w:noWrap/>
            <w:hideMark/>
          </w:tcPr>
          <w:p w:rsidR="0091763E" w:rsidRPr="00010E21" w:rsidRDefault="0091763E">
            <w:pPr>
              <w:rPr>
                <w:rFonts w:cstheme="minorHAnsi"/>
                <w:sz w:val="24"/>
                <w:szCs w:val="24"/>
              </w:rPr>
            </w:pPr>
            <w:r w:rsidRPr="00010E21">
              <w:rPr>
                <w:rFonts w:cstheme="minorHAnsi"/>
                <w:sz w:val="24"/>
                <w:szCs w:val="24"/>
              </w:rPr>
              <w:t>Common equity/Total capital</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5.26%</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4.30%</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4.49%</w:t>
            </w:r>
          </w:p>
        </w:tc>
        <w:tc>
          <w:tcPr>
            <w:tcW w:w="820" w:type="dxa"/>
            <w:noWrap/>
            <w:hideMark/>
          </w:tcPr>
          <w:p w:rsidR="0091763E" w:rsidRPr="00010E21" w:rsidRDefault="0091763E" w:rsidP="0091763E">
            <w:pPr>
              <w:rPr>
                <w:rFonts w:cstheme="minorHAnsi"/>
                <w:sz w:val="24"/>
                <w:szCs w:val="24"/>
              </w:rPr>
            </w:pPr>
            <w:r w:rsidRPr="00010E21">
              <w:rPr>
                <w:rFonts w:cstheme="minorHAnsi"/>
                <w:sz w:val="24"/>
                <w:szCs w:val="24"/>
              </w:rPr>
              <w:t>4.63%</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4.95%</w:t>
            </w:r>
          </w:p>
        </w:tc>
      </w:tr>
      <w:tr w:rsidR="0091763E" w:rsidRPr="00010E21" w:rsidTr="0091763E">
        <w:trPr>
          <w:trHeight w:val="315"/>
        </w:trPr>
        <w:tc>
          <w:tcPr>
            <w:tcW w:w="5300" w:type="dxa"/>
            <w:noWrap/>
            <w:hideMark/>
          </w:tcPr>
          <w:p w:rsidR="0091763E" w:rsidRPr="00010E21" w:rsidRDefault="0091763E">
            <w:pPr>
              <w:rPr>
                <w:rFonts w:cstheme="minorHAnsi"/>
                <w:sz w:val="24"/>
                <w:szCs w:val="24"/>
              </w:rPr>
            </w:pPr>
            <w:r w:rsidRPr="00010E21">
              <w:rPr>
                <w:rFonts w:cstheme="minorHAnsi"/>
                <w:sz w:val="24"/>
                <w:szCs w:val="24"/>
              </w:rPr>
              <w:t>Debt to Equity Ratio</w:t>
            </w:r>
          </w:p>
        </w:tc>
        <w:tc>
          <w:tcPr>
            <w:tcW w:w="5260" w:type="dxa"/>
            <w:noWrap/>
            <w:hideMark/>
          </w:tcPr>
          <w:p w:rsidR="0091763E" w:rsidRPr="00010E21" w:rsidRDefault="0091763E">
            <w:pPr>
              <w:rPr>
                <w:rFonts w:cstheme="minorHAnsi"/>
                <w:sz w:val="24"/>
                <w:szCs w:val="24"/>
              </w:rPr>
            </w:pPr>
            <w:r w:rsidRPr="00010E21">
              <w:rPr>
                <w:rFonts w:cstheme="minorHAnsi"/>
                <w:sz w:val="24"/>
                <w:szCs w:val="24"/>
              </w:rPr>
              <w:t>Debt/Equity</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71.2%</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90.3%</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105%</w:t>
            </w:r>
          </w:p>
        </w:tc>
        <w:tc>
          <w:tcPr>
            <w:tcW w:w="820" w:type="dxa"/>
            <w:noWrap/>
            <w:hideMark/>
          </w:tcPr>
          <w:p w:rsidR="0091763E" w:rsidRPr="00010E21" w:rsidRDefault="0091763E" w:rsidP="0091763E">
            <w:pPr>
              <w:rPr>
                <w:rFonts w:cstheme="minorHAnsi"/>
                <w:sz w:val="24"/>
                <w:szCs w:val="24"/>
              </w:rPr>
            </w:pPr>
            <w:r w:rsidRPr="00010E21">
              <w:rPr>
                <w:rFonts w:cstheme="minorHAnsi"/>
                <w:sz w:val="24"/>
                <w:szCs w:val="24"/>
              </w:rPr>
              <w:t>105%</w:t>
            </w:r>
          </w:p>
        </w:tc>
        <w:tc>
          <w:tcPr>
            <w:tcW w:w="860" w:type="dxa"/>
            <w:noWrap/>
            <w:hideMark/>
          </w:tcPr>
          <w:p w:rsidR="0091763E" w:rsidRPr="00010E21" w:rsidRDefault="0091763E" w:rsidP="0091763E">
            <w:pPr>
              <w:rPr>
                <w:rFonts w:cstheme="minorHAnsi"/>
                <w:sz w:val="24"/>
                <w:szCs w:val="24"/>
              </w:rPr>
            </w:pPr>
            <w:r w:rsidRPr="00010E21">
              <w:rPr>
                <w:rFonts w:cstheme="minorHAnsi"/>
                <w:sz w:val="24"/>
                <w:szCs w:val="24"/>
              </w:rPr>
              <w:t>52%</w:t>
            </w:r>
          </w:p>
        </w:tc>
      </w:tr>
    </w:tbl>
    <w:p w:rsidR="0091763E" w:rsidRPr="00010E21" w:rsidRDefault="0091763E" w:rsidP="0091763E">
      <w:pPr>
        <w:rPr>
          <w:rFonts w:cstheme="minorHAnsi"/>
          <w:sz w:val="24"/>
          <w:szCs w:val="24"/>
        </w:rPr>
      </w:pPr>
    </w:p>
    <w:p w:rsidR="0091763E" w:rsidRPr="00010E21" w:rsidRDefault="0091763E" w:rsidP="0091763E">
      <w:pPr>
        <w:pStyle w:val="comp"/>
        <w:shd w:val="clear" w:color="auto" w:fill="FFFFFF"/>
        <w:spacing w:before="0" w:beforeAutospacing="0"/>
        <w:rPr>
          <w:rFonts w:asciiTheme="minorHAnsi" w:hAnsiTheme="minorHAnsi" w:cstheme="minorHAnsi"/>
          <w:color w:val="111111"/>
        </w:rPr>
      </w:pPr>
      <w:r w:rsidRPr="00010E21">
        <w:rPr>
          <w:rFonts w:asciiTheme="minorHAnsi" w:hAnsiTheme="minorHAnsi" w:cstheme="minorHAnsi"/>
          <w:color w:val="111111"/>
        </w:rPr>
        <w:t>The reason minimum capital adequacy ratios (CARs) are critical is to make sure that banks have enough cushion to absorb a reasonable amount of losses before they become insolvent and consequently lose depositors’ funds. The capital adequacy ratios ensure the efficiency and stability of a nation’s financial system by lowering the risk of banks becoming insolvent. Generally, a bank with a high capital adequacy ratio is considered safe and likely to meet its financial obligations.</w:t>
      </w:r>
    </w:p>
    <w:p w:rsidR="0091763E" w:rsidRPr="00010E21" w:rsidRDefault="0091763E" w:rsidP="0091763E">
      <w:pPr>
        <w:pStyle w:val="comp"/>
        <w:shd w:val="clear" w:color="auto" w:fill="FFFFFF"/>
        <w:spacing w:before="0" w:beforeAutospacing="0"/>
        <w:rPr>
          <w:rFonts w:asciiTheme="minorHAnsi" w:hAnsiTheme="minorHAnsi" w:cstheme="minorHAnsi"/>
          <w:color w:val="111111"/>
        </w:rPr>
      </w:pPr>
      <w:r w:rsidRPr="00010E21">
        <w:rPr>
          <w:rFonts w:asciiTheme="minorHAnsi" w:hAnsiTheme="minorHAnsi" w:cstheme="minorHAnsi"/>
          <w:color w:val="111111"/>
        </w:rPr>
        <w:t>During the process of winding-up, funds belonging to depositors are given a higher priority than the bank’s capital, so depositors can only lose their savings if a bank registers a loss exceeding the amount of capital it possesses. Thus the higher the bank’s capital adequacy ratio, the higher the degree of protection of depositor's assets.</w:t>
      </w:r>
    </w:p>
    <w:p w:rsidR="0091763E" w:rsidRPr="00010E21" w:rsidRDefault="0091763E" w:rsidP="0091763E">
      <w:pPr>
        <w:pStyle w:val="comp"/>
        <w:shd w:val="clear" w:color="auto" w:fill="FFFFFF"/>
        <w:spacing w:before="0" w:beforeAutospacing="0"/>
        <w:rPr>
          <w:rFonts w:asciiTheme="minorHAnsi" w:hAnsiTheme="minorHAnsi" w:cstheme="minorHAnsi"/>
          <w:color w:val="111111"/>
        </w:rPr>
      </w:pPr>
      <w:r w:rsidRPr="00010E21">
        <w:rPr>
          <w:rFonts w:asciiTheme="minorHAnsi" w:hAnsiTheme="minorHAnsi" w:cstheme="minorHAnsi"/>
          <w:color w:val="111111"/>
        </w:rPr>
        <w:lastRenderedPageBreak/>
        <w:t>Off-balance sheet agreements, such as foreign exchange contracts and guarantees, also have credit risks. Such exposures are converted to their credit equivalent figures and then weighted in a similar fashion to that of on-balance sheet credit exposures. The off-balance sheet and on-balance sheet credit exposures are then lumped together to obtain the total risk-weighted credit exposures.</w:t>
      </w:r>
    </w:p>
    <w:p w:rsidR="0091763E" w:rsidRPr="00010E21" w:rsidRDefault="0091763E" w:rsidP="0091763E">
      <w:pPr>
        <w:rPr>
          <w:rFonts w:cstheme="minorHAnsi"/>
          <w:sz w:val="24"/>
          <w:szCs w:val="24"/>
        </w:rPr>
      </w:pPr>
      <w:r w:rsidRPr="00010E21">
        <w:rPr>
          <w:rFonts w:cstheme="minorHAnsi"/>
          <w:sz w:val="24"/>
          <w:szCs w:val="24"/>
        </w:rPr>
        <w:t>Asset Quality:</w:t>
      </w:r>
    </w:p>
    <w:p w:rsidR="0091763E" w:rsidRPr="00010E21" w:rsidRDefault="0091763E" w:rsidP="0091763E">
      <w:pPr>
        <w:pStyle w:val="comp"/>
        <w:shd w:val="clear" w:color="auto" w:fill="FFFFFF"/>
        <w:spacing w:before="0" w:beforeAutospacing="0"/>
        <w:rPr>
          <w:rFonts w:asciiTheme="minorHAnsi" w:hAnsiTheme="minorHAnsi" w:cstheme="minorHAnsi"/>
          <w:color w:val="111111"/>
        </w:rPr>
      </w:pPr>
      <w:r w:rsidRPr="00010E21">
        <w:rPr>
          <w:rFonts w:asciiTheme="minorHAnsi" w:hAnsiTheme="minorHAnsi" w:cstheme="minorHAnsi"/>
          <w:color w:val="111111"/>
        </w:rPr>
        <w:t>An asset quality rating refers to the assessment of credit risk associated with a particular asset, such as a bond or stock portfolio. The level of efficiency in which an investment manager controls and monitors credit risk heavily influences the rating bestowed. And because asset quality is an important determinant of risk that profoundly impacts liquidity and costs, analysts go to great lengths to make sure they issue the most accurate evaluations possible. After all, their pronouncements can greatly affect the overall condition of a business, bank, or portfolio for years to come.</w:t>
      </w:r>
    </w:p>
    <w:p w:rsidR="0091763E" w:rsidRPr="00010E21" w:rsidRDefault="0091763E" w:rsidP="0091763E">
      <w:pPr>
        <w:pStyle w:val="comp"/>
        <w:shd w:val="clear" w:color="auto" w:fill="FFFFFF"/>
        <w:spacing w:before="0" w:beforeAutospacing="0"/>
        <w:rPr>
          <w:rFonts w:asciiTheme="minorHAnsi" w:hAnsiTheme="minorHAnsi" w:cstheme="minorHAnsi"/>
          <w:color w:val="111111"/>
        </w:rPr>
      </w:pPr>
      <w:r w:rsidRPr="00010E21">
        <w:rPr>
          <w:rFonts w:asciiTheme="minorHAnsi" w:hAnsiTheme="minorHAnsi" w:cstheme="minorHAnsi"/>
          <w:color w:val="111111"/>
        </w:rPr>
        <w:t>Analysts consider a multitude of factors when issuing asset quality ratings, including portfolio diversification, operational efficiency, and how existing regulatory frameworks may or may not limit credit risk. A rating of “one” signals that an asset possesses high quality with little credit risk. Such a rating would likely be assigned to ultra-secure government Treasury bills (T-Bills). At the other end of the spectrum, a rating of “five” would likely be given to assets with significant credit deficits, such as high-risk corporate-issued junk bonds.</w:t>
      </w:r>
    </w:p>
    <w:p w:rsidR="0091763E" w:rsidRPr="00010E21" w:rsidRDefault="0091763E" w:rsidP="0091763E">
      <w:pPr>
        <w:pStyle w:val="comp"/>
        <w:shd w:val="clear" w:color="auto" w:fill="FFFFFF"/>
        <w:spacing w:before="0" w:beforeAutospacing="0"/>
        <w:rPr>
          <w:rFonts w:asciiTheme="minorHAnsi" w:hAnsiTheme="minorHAnsi" w:cstheme="minorHAnsi"/>
          <w:color w:val="111111"/>
        </w:rPr>
      </w:pPr>
    </w:p>
    <w:tbl>
      <w:tblPr>
        <w:tblStyle w:val="TableGrid"/>
        <w:tblW w:w="0" w:type="auto"/>
        <w:tblLook w:val="04A0" w:firstRow="1" w:lastRow="0" w:firstColumn="1" w:lastColumn="0" w:noHBand="0" w:noVBand="1"/>
      </w:tblPr>
      <w:tblGrid>
        <w:gridCol w:w="3298"/>
        <w:gridCol w:w="3272"/>
        <w:gridCol w:w="606"/>
        <w:gridCol w:w="606"/>
        <w:gridCol w:w="606"/>
        <w:gridCol w:w="582"/>
        <w:gridCol w:w="606"/>
      </w:tblGrid>
      <w:tr w:rsidR="00010E21" w:rsidRPr="00010E21" w:rsidTr="0091763E">
        <w:trPr>
          <w:trHeight w:val="315"/>
        </w:trPr>
        <w:tc>
          <w:tcPr>
            <w:tcW w:w="530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Asset quality</w:t>
            </w:r>
          </w:p>
        </w:tc>
        <w:tc>
          <w:tcPr>
            <w:tcW w:w="52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 </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 </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 </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 </w:t>
            </w:r>
          </w:p>
        </w:tc>
        <w:tc>
          <w:tcPr>
            <w:tcW w:w="82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 </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 </w:t>
            </w:r>
          </w:p>
        </w:tc>
      </w:tr>
      <w:tr w:rsidR="0091763E" w:rsidRPr="00010E21" w:rsidTr="0091763E">
        <w:trPr>
          <w:trHeight w:val="315"/>
        </w:trPr>
        <w:tc>
          <w:tcPr>
            <w:tcW w:w="530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Non performing financing to Total financing</w:t>
            </w:r>
          </w:p>
        </w:tc>
        <w:tc>
          <w:tcPr>
            <w:tcW w:w="52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 </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2.58%</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1.89%</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2.10%</w:t>
            </w:r>
          </w:p>
        </w:tc>
        <w:tc>
          <w:tcPr>
            <w:tcW w:w="82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2.60%</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3.95%</w:t>
            </w:r>
          </w:p>
        </w:tc>
      </w:tr>
      <w:tr w:rsidR="0091763E" w:rsidRPr="00010E21" w:rsidTr="0091763E">
        <w:trPr>
          <w:trHeight w:val="315"/>
        </w:trPr>
        <w:tc>
          <w:tcPr>
            <w:tcW w:w="530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Non performing financing to Total assets</w:t>
            </w:r>
          </w:p>
        </w:tc>
        <w:tc>
          <w:tcPr>
            <w:tcW w:w="52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 </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1.14%</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1.03%</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1.13%</w:t>
            </w:r>
          </w:p>
        </w:tc>
        <w:tc>
          <w:tcPr>
            <w:tcW w:w="82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1.23%</w:t>
            </w:r>
          </w:p>
        </w:tc>
        <w:tc>
          <w:tcPr>
            <w:tcW w:w="860" w:type="dxa"/>
            <w:noWrap/>
            <w:hideMark/>
          </w:tcPr>
          <w:p w:rsidR="0091763E" w:rsidRPr="00010E21" w:rsidRDefault="0091763E" w:rsidP="0091763E">
            <w:pPr>
              <w:pStyle w:val="comp"/>
              <w:shd w:val="clear" w:color="auto" w:fill="FFFFFF"/>
              <w:rPr>
                <w:rFonts w:asciiTheme="minorHAnsi" w:hAnsiTheme="minorHAnsi" w:cstheme="minorHAnsi"/>
                <w:color w:val="111111"/>
              </w:rPr>
            </w:pPr>
            <w:r w:rsidRPr="00010E21">
              <w:rPr>
                <w:rFonts w:asciiTheme="minorHAnsi" w:hAnsiTheme="minorHAnsi" w:cstheme="minorHAnsi"/>
                <w:color w:val="111111"/>
              </w:rPr>
              <w:t>1.54%</w:t>
            </w:r>
          </w:p>
        </w:tc>
      </w:tr>
    </w:tbl>
    <w:p w:rsidR="0091763E" w:rsidRPr="00010E21" w:rsidRDefault="0091763E" w:rsidP="0091763E">
      <w:pPr>
        <w:pStyle w:val="comp"/>
        <w:shd w:val="clear" w:color="auto" w:fill="FFFFFF"/>
        <w:spacing w:before="0" w:beforeAutospacing="0"/>
        <w:rPr>
          <w:rFonts w:asciiTheme="minorHAnsi" w:hAnsiTheme="minorHAnsi" w:cstheme="minorHAnsi"/>
          <w:color w:val="111111"/>
        </w:rPr>
      </w:pPr>
    </w:p>
    <w:p w:rsidR="00D065A5" w:rsidRPr="00010E21" w:rsidRDefault="00D065A5" w:rsidP="00D065A5">
      <w:pPr>
        <w:rPr>
          <w:rFonts w:cstheme="minorHAnsi"/>
          <w:sz w:val="24"/>
          <w:szCs w:val="24"/>
        </w:rPr>
      </w:pPr>
      <w:r w:rsidRPr="00010E21">
        <w:rPr>
          <w:rFonts w:cstheme="minorHAnsi"/>
          <w:sz w:val="24"/>
          <w:szCs w:val="24"/>
        </w:rPr>
        <w:t>Management</w:t>
      </w:r>
    </w:p>
    <w:tbl>
      <w:tblPr>
        <w:tblStyle w:val="TableGrid"/>
        <w:tblW w:w="0" w:type="auto"/>
        <w:tblLook w:val="04A0" w:firstRow="1" w:lastRow="0" w:firstColumn="1" w:lastColumn="0" w:noHBand="0" w:noVBand="1"/>
      </w:tblPr>
      <w:tblGrid>
        <w:gridCol w:w="3298"/>
        <w:gridCol w:w="3272"/>
        <w:gridCol w:w="606"/>
        <w:gridCol w:w="606"/>
        <w:gridCol w:w="606"/>
        <w:gridCol w:w="582"/>
        <w:gridCol w:w="606"/>
      </w:tblGrid>
      <w:tr w:rsidR="00D065A5" w:rsidRPr="00010E21" w:rsidTr="00D065A5">
        <w:trPr>
          <w:trHeight w:val="315"/>
        </w:trPr>
        <w:tc>
          <w:tcPr>
            <w:tcW w:w="5300" w:type="dxa"/>
            <w:noWrap/>
            <w:hideMark/>
          </w:tcPr>
          <w:p w:rsidR="00D065A5" w:rsidRPr="00010E21" w:rsidRDefault="00D065A5">
            <w:pPr>
              <w:rPr>
                <w:rFonts w:cstheme="minorHAnsi"/>
                <w:sz w:val="24"/>
                <w:szCs w:val="24"/>
              </w:rPr>
            </w:pPr>
            <w:r w:rsidRPr="00010E21">
              <w:rPr>
                <w:rFonts w:cstheme="minorHAnsi"/>
                <w:sz w:val="24"/>
                <w:szCs w:val="24"/>
              </w:rPr>
              <w:t>Operating expenses to net income</w:t>
            </w:r>
          </w:p>
        </w:tc>
        <w:tc>
          <w:tcPr>
            <w:tcW w:w="5260" w:type="dxa"/>
            <w:noWrap/>
            <w:hideMark/>
          </w:tcPr>
          <w:p w:rsidR="00D065A5" w:rsidRPr="00010E21" w:rsidRDefault="00D065A5">
            <w:pPr>
              <w:rPr>
                <w:rFonts w:cstheme="minorHAnsi"/>
                <w:sz w:val="24"/>
                <w:szCs w:val="24"/>
              </w:rPr>
            </w:pPr>
            <w:r w:rsidRPr="00010E21">
              <w:rPr>
                <w:rFonts w:cstheme="minorHAnsi"/>
                <w:sz w:val="24"/>
                <w:szCs w:val="24"/>
              </w:rPr>
              <w:t xml:space="preserve">Operating expenses/Net income </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163%</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215%</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260%</w:t>
            </w:r>
          </w:p>
        </w:tc>
        <w:tc>
          <w:tcPr>
            <w:tcW w:w="820" w:type="dxa"/>
            <w:noWrap/>
            <w:hideMark/>
          </w:tcPr>
          <w:p w:rsidR="00D065A5" w:rsidRPr="00010E21" w:rsidRDefault="00D065A5" w:rsidP="00D065A5">
            <w:pPr>
              <w:rPr>
                <w:rFonts w:cstheme="minorHAnsi"/>
                <w:sz w:val="24"/>
                <w:szCs w:val="24"/>
              </w:rPr>
            </w:pPr>
            <w:r w:rsidRPr="00010E21">
              <w:rPr>
                <w:rFonts w:cstheme="minorHAnsi"/>
                <w:sz w:val="24"/>
                <w:szCs w:val="24"/>
              </w:rPr>
              <w:t>268%</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267%</w:t>
            </w:r>
          </w:p>
        </w:tc>
      </w:tr>
      <w:tr w:rsidR="00D065A5" w:rsidRPr="00010E21" w:rsidTr="00D065A5">
        <w:trPr>
          <w:trHeight w:val="315"/>
        </w:trPr>
        <w:tc>
          <w:tcPr>
            <w:tcW w:w="5300" w:type="dxa"/>
            <w:noWrap/>
            <w:hideMark/>
          </w:tcPr>
          <w:p w:rsidR="00D065A5" w:rsidRPr="00010E21" w:rsidRDefault="00D065A5">
            <w:pPr>
              <w:rPr>
                <w:rFonts w:cstheme="minorHAnsi"/>
                <w:sz w:val="24"/>
                <w:szCs w:val="24"/>
              </w:rPr>
            </w:pPr>
            <w:r w:rsidRPr="00010E21">
              <w:rPr>
                <w:rFonts w:cstheme="minorHAnsi"/>
                <w:sz w:val="24"/>
                <w:szCs w:val="24"/>
              </w:rPr>
              <w:t>ROE Growth rate last 5 years</w:t>
            </w:r>
          </w:p>
        </w:tc>
        <w:tc>
          <w:tcPr>
            <w:tcW w:w="5260" w:type="dxa"/>
            <w:noWrap/>
            <w:hideMark/>
          </w:tcPr>
          <w:p w:rsidR="00D065A5" w:rsidRPr="00010E21" w:rsidRDefault="00D065A5">
            <w:pPr>
              <w:rPr>
                <w:rFonts w:cstheme="minorHAnsi"/>
                <w:sz w:val="24"/>
                <w:szCs w:val="24"/>
              </w:rPr>
            </w:pPr>
            <w:r w:rsidRPr="00010E21">
              <w:rPr>
                <w:rFonts w:cstheme="minorHAnsi"/>
                <w:sz w:val="24"/>
                <w:szCs w:val="24"/>
              </w:rPr>
              <w:t> </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8%</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16%</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22.1%</w:t>
            </w:r>
          </w:p>
        </w:tc>
        <w:tc>
          <w:tcPr>
            <w:tcW w:w="820" w:type="dxa"/>
            <w:noWrap/>
            <w:hideMark/>
          </w:tcPr>
          <w:p w:rsidR="00D065A5" w:rsidRPr="00010E21" w:rsidRDefault="00D065A5" w:rsidP="00D065A5">
            <w:pPr>
              <w:rPr>
                <w:rFonts w:cstheme="minorHAnsi"/>
                <w:sz w:val="24"/>
                <w:szCs w:val="24"/>
              </w:rPr>
            </w:pPr>
            <w:r w:rsidRPr="00010E21">
              <w:rPr>
                <w:rFonts w:cstheme="minorHAnsi"/>
                <w:sz w:val="24"/>
                <w:szCs w:val="24"/>
              </w:rPr>
              <w:t>1.1%</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-6.6%</w:t>
            </w:r>
          </w:p>
        </w:tc>
      </w:tr>
      <w:tr w:rsidR="00D065A5" w:rsidRPr="00010E21" w:rsidTr="00D065A5">
        <w:trPr>
          <w:trHeight w:val="315"/>
        </w:trPr>
        <w:tc>
          <w:tcPr>
            <w:tcW w:w="5300" w:type="dxa"/>
            <w:noWrap/>
            <w:hideMark/>
          </w:tcPr>
          <w:p w:rsidR="00D065A5" w:rsidRPr="00010E21" w:rsidRDefault="00D065A5">
            <w:pPr>
              <w:rPr>
                <w:rFonts w:cstheme="minorHAnsi"/>
                <w:sz w:val="24"/>
                <w:szCs w:val="24"/>
              </w:rPr>
            </w:pPr>
            <w:r w:rsidRPr="00010E21">
              <w:rPr>
                <w:rFonts w:cstheme="minorHAnsi"/>
                <w:sz w:val="24"/>
                <w:szCs w:val="24"/>
              </w:rPr>
              <w:t>ROA Growth rate last 5 years</w:t>
            </w:r>
          </w:p>
        </w:tc>
        <w:tc>
          <w:tcPr>
            <w:tcW w:w="5260" w:type="dxa"/>
            <w:noWrap/>
            <w:hideMark/>
          </w:tcPr>
          <w:p w:rsidR="00D065A5" w:rsidRPr="00010E21" w:rsidRDefault="00D065A5">
            <w:pPr>
              <w:rPr>
                <w:rFonts w:cstheme="minorHAnsi"/>
                <w:sz w:val="24"/>
                <w:szCs w:val="24"/>
              </w:rPr>
            </w:pPr>
            <w:r w:rsidRPr="00010E21">
              <w:rPr>
                <w:rFonts w:cstheme="minorHAnsi"/>
                <w:sz w:val="24"/>
                <w:szCs w:val="24"/>
              </w:rPr>
              <w:t> </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11%</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42.2%</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17.0%</w:t>
            </w:r>
          </w:p>
        </w:tc>
        <w:tc>
          <w:tcPr>
            <w:tcW w:w="820" w:type="dxa"/>
            <w:noWrap/>
            <w:hideMark/>
          </w:tcPr>
          <w:p w:rsidR="00D065A5" w:rsidRPr="00010E21" w:rsidRDefault="00D065A5" w:rsidP="00D065A5">
            <w:pPr>
              <w:rPr>
                <w:rFonts w:cstheme="minorHAnsi"/>
                <w:sz w:val="24"/>
                <w:szCs w:val="24"/>
              </w:rPr>
            </w:pPr>
            <w:r w:rsidRPr="00010E21">
              <w:rPr>
                <w:rFonts w:cstheme="minorHAnsi"/>
                <w:sz w:val="24"/>
                <w:szCs w:val="24"/>
              </w:rPr>
              <w:t>-2.1%</w:t>
            </w:r>
          </w:p>
        </w:tc>
        <w:tc>
          <w:tcPr>
            <w:tcW w:w="860" w:type="dxa"/>
            <w:noWrap/>
            <w:hideMark/>
          </w:tcPr>
          <w:p w:rsidR="00D065A5" w:rsidRPr="00010E21" w:rsidRDefault="00D065A5" w:rsidP="00D065A5">
            <w:pPr>
              <w:rPr>
                <w:rFonts w:cstheme="minorHAnsi"/>
                <w:sz w:val="24"/>
                <w:szCs w:val="24"/>
              </w:rPr>
            </w:pPr>
            <w:r w:rsidRPr="00010E21">
              <w:rPr>
                <w:rFonts w:cstheme="minorHAnsi"/>
                <w:sz w:val="24"/>
                <w:szCs w:val="24"/>
              </w:rPr>
              <w:t>-12.7%</w:t>
            </w:r>
          </w:p>
        </w:tc>
      </w:tr>
    </w:tbl>
    <w:p w:rsidR="0091763E" w:rsidRPr="00010E21" w:rsidRDefault="0091763E" w:rsidP="0091763E">
      <w:pPr>
        <w:rPr>
          <w:rFonts w:cstheme="minorHAnsi"/>
          <w:sz w:val="24"/>
          <w:szCs w:val="24"/>
        </w:rPr>
      </w:pPr>
    </w:p>
    <w:p w:rsidR="0091763E" w:rsidRPr="00010E21" w:rsidRDefault="00D065A5" w:rsidP="0091763E">
      <w:pPr>
        <w:rPr>
          <w:rFonts w:cstheme="minorHAnsi"/>
          <w:sz w:val="24"/>
          <w:szCs w:val="24"/>
        </w:rPr>
      </w:pPr>
      <w:r w:rsidRPr="00010E21">
        <w:rPr>
          <w:rFonts w:cstheme="minorHAnsi"/>
          <w:sz w:val="24"/>
          <w:szCs w:val="24"/>
        </w:rPr>
        <w:lastRenderedPageBreak/>
        <w:t>Earnings:</w:t>
      </w:r>
    </w:p>
    <w:p w:rsidR="00D065A5" w:rsidRPr="00010E21" w:rsidRDefault="00D065A5" w:rsidP="0091763E">
      <w:pPr>
        <w:rPr>
          <w:rFonts w:cstheme="minorHAnsi"/>
          <w:color w:val="111111"/>
          <w:sz w:val="24"/>
          <w:szCs w:val="24"/>
          <w:shd w:val="clear" w:color="auto" w:fill="FFFFFF"/>
        </w:rPr>
      </w:pPr>
      <w:r w:rsidRPr="00010E21">
        <w:rPr>
          <w:rFonts w:cstheme="minorHAnsi"/>
          <w:color w:val="111111"/>
          <w:sz w:val="24"/>
          <w:szCs w:val="24"/>
          <w:shd w:val="clear" w:color="auto" w:fill="FFFFFF"/>
        </w:rPr>
        <w:t>Return on equity (ROE) is a measure of financial performance calculated by dividing </w:t>
      </w:r>
      <w:r w:rsidRPr="00010E21">
        <w:rPr>
          <w:rFonts w:cstheme="minorHAnsi"/>
          <w:sz w:val="24"/>
          <w:szCs w:val="24"/>
          <w:shd w:val="clear" w:color="auto" w:fill="FFFFFF"/>
        </w:rPr>
        <w:t>net income</w:t>
      </w:r>
      <w:r w:rsidRPr="00010E21">
        <w:rPr>
          <w:rFonts w:cstheme="minorHAnsi"/>
          <w:color w:val="111111"/>
          <w:sz w:val="24"/>
          <w:szCs w:val="24"/>
          <w:shd w:val="clear" w:color="auto" w:fill="FFFFFF"/>
        </w:rPr>
        <w:t> by </w:t>
      </w:r>
      <w:r w:rsidRPr="00010E21">
        <w:rPr>
          <w:rFonts w:cstheme="minorHAnsi"/>
          <w:sz w:val="24"/>
          <w:szCs w:val="24"/>
          <w:shd w:val="clear" w:color="auto" w:fill="FFFFFF"/>
        </w:rPr>
        <w:t>shareholders' equity</w:t>
      </w:r>
      <w:r w:rsidRPr="00010E21">
        <w:rPr>
          <w:rFonts w:cstheme="minorHAnsi"/>
          <w:color w:val="111111"/>
          <w:sz w:val="24"/>
          <w:szCs w:val="24"/>
          <w:shd w:val="clear" w:color="auto" w:fill="FFFFFF"/>
        </w:rPr>
        <w:t>. Because shareholders' equity is equal to a company’s assets minus its debt, ROE is considered the </w:t>
      </w:r>
      <w:r w:rsidRPr="00010E21">
        <w:rPr>
          <w:rFonts w:cstheme="minorHAnsi"/>
          <w:sz w:val="24"/>
          <w:szCs w:val="24"/>
          <w:shd w:val="clear" w:color="auto" w:fill="FFFFFF"/>
        </w:rPr>
        <w:t>return on net assets</w:t>
      </w:r>
      <w:r w:rsidRPr="00010E21">
        <w:rPr>
          <w:rFonts w:cstheme="minorHAnsi"/>
          <w:color w:val="111111"/>
          <w:sz w:val="24"/>
          <w:szCs w:val="24"/>
          <w:shd w:val="clear" w:color="auto" w:fill="FFFFFF"/>
        </w:rPr>
        <w:t>. ROE is considered a measure of the profitability of a corporation in relation to stockholders’ equity.</w:t>
      </w:r>
    </w:p>
    <w:p w:rsidR="00D065A5" w:rsidRPr="00010E21" w:rsidRDefault="00D065A5" w:rsidP="00D065A5">
      <w:pPr>
        <w:rPr>
          <w:rFonts w:cstheme="minorHAnsi"/>
          <w:sz w:val="24"/>
          <w:szCs w:val="24"/>
        </w:rPr>
      </w:pPr>
      <w:r w:rsidRPr="00010E21">
        <w:rPr>
          <w:rFonts w:cstheme="minorHAnsi"/>
          <w:sz w:val="24"/>
          <w:szCs w:val="24"/>
        </w:rPr>
        <w:t>Whether ROE is deemed good or bad will depend on what is normal among a stock’s peers. For example, utilities have many assets and debt on the balance sheet compared to a relatively small amount of net income. A normal ROE in the utility sector could be 10% or less. A technology or retail firm with smaller balance sheet accounts relative to net income may have normal ROE levels of 18% or more.</w:t>
      </w:r>
    </w:p>
    <w:p w:rsidR="00D065A5" w:rsidRPr="00010E21" w:rsidRDefault="00D065A5" w:rsidP="00D065A5">
      <w:pPr>
        <w:rPr>
          <w:rFonts w:cstheme="minorHAnsi"/>
          <w:sz w:val="24"/>
          <w:szCs w:val="24"/>
        </w:rPr>
      </w:pPr>
    </w:p>
    <w:p w:rsidR="00D065A5" w:rsidRPr="00010E21" w:rsidRDefault="00D065A5" w:rsidP="00D065A5">
      <w:pPr>
        <w:rPr>
          <w:rFonts w:cstheme="minorHAnsi"/>
          <w:sz w:val="24"/>
          <w:szCs w:val="24"/>
        </w:rPr>
      </w:pPr>
      <w:r w:rsidRPr="00010E21">
        <w:rPr>
          <w:rFonts w:cstheme="minorHAnsi"/>
          <w:sz w:val="24"/>
          <w:szCs w:val="24"/>
        </w:rPr>
        <w:t>A good rule of thumb is to target an ROE that is equal to or just above the average for the peer group. For example, assume a company, TechCo, has maintained a steady ROE of 18% over the last few years compared to the average of its peers, which was 15%. An investor could conclude that TechCo’s management is above average at using the company’s assets to create profits. Relatively high or low ROE ratios will vary significantly from one industry group or sector to another. When used to evaluate one company to another similar company, the comparison will be more meaningful. A common shortcut for investors is to consider a return on equity near the long-term average of the S&amp;P 500 (14%) as an acceptable ratio and anything less than 10% as poor.</w:t>
      </w:r>
    </w:p>
    <w:p w:rsidR="00D065A5" w:rsidRPr="00010E21" w:rsidRDefault="00D065A5" w:rsidP="00D065A5">
      <w:pPr>
        <w:rPr>
          <w:rFonts w:cstheme="minorHAnsi"/>
          <w:sz w:val="24"/>
          <w:szCs w:val="24"/>
        </w:rPr>
      </w:pPr>
      <w:r w:rsidRPr="00010E21">
        <w:rPr>
          <w:rFonts w:cstheme="minorHAnsi"/>
          <w:sz w:val="24"/>
          <w:szCs w:val="24"/>
        </w:rPr>
        <w:t>Return on assets (ROA) is an indicator of how profitable a company is relative to its total assets. ROA gives a manager, investor, or analyst an idea as to how efficient a company's management is at using its assets to generate earnings. Return on assets is displayed as a percentage</w:t>
      </w:r>
    </w:p>
    <w:p w:rsidR="00D065A5" w:rsidRPr="00010E21" w:rsidRDefault="00D065A5" w:rsidP="00D065A5">
      <w:pPr>
        <w:rPr>
          <w:rFonts w:cstheme="minorHAnsi"/>
          <w:sz w:val="24"/>
          <w:szCs w:val="24"/>
        </w:rPr>
      </w:pPr>
      <w:r w:rsidRPr="00010E21">
        <w:rPr>
          <w:rFonts w:cstheme="minorHAnsi"/>
          <w:sz w:val="24"/>
          <w:szCs w:val="24"/>
        </w:rPr>
        <w:t>Return on assets (ROA), in basic terms, tells you what earnings were generated from invested capital (assets). ROA for public companies can vary substantially and will be highly dependent on the industry. This is why when using ROA as a comparative measure, it is best to compare it against a company's previous ROA numbers or against a similar company's ROA.</w:t>
      </w:r>
    </w:p>
    <w:p w:rsidR="00D065A5" w:rsidRPr="00010E21" w:rsidRDefault="00D065A5" w:rsidP="00D065A5">
      <w:pPr>
        <w:rPr>
          <w:rFonts w:cstheme="minorHAnsi"/>
          <w:sz w:val="24"/>
          <w:szCs w:val="24"/>
        </w:rPr>
      </w:pPr>
    </w:p>
    <w:p w:rsidR="00D065A5" w:rsidRPr="00010E21" w:rsidRDefault="00D065A5" w:rsidP="00D065A5">
      <w:pPr>
        <w:rPr>
          <w:rFonts w:cstheme="minorHAnsi"/>
          <w:sz w:val="24"/>
          <w:szCs w:val="24"/>
        </w:rPr>
      </w:pPr>
      <w:r w:rsidRPr="00010E21">
        <w:rPr>
          <w:rFonts w:cstheme="minorHAnsi"/>
          <w:sz w:val="24"/>
          <w:szCs w:val="24"/>
        </w:rPr>
        <w:t>The ROA figure gives investors an idea of how effective the company is in converting the money it invests into net income. The higher the ROA number, the better, because the company is earning more money on less investment.</w:t>
      </w:r>
    </w:p>
    <w:tbl>
      <w:tblPr>
        <w:tblStyle w:val="TableGrid"/>
        <w:tblW w:w="0" w:type="auto"/>
        <w:tblLook w:val="04A0" w:firstRow="1" w:lastRow="0" w:firstColumn="1" w:lastColumn="0" w:noHBand="0" w:noVBand="1"/>
      </w:tblPr>
      <w:tblGrid>
        <w:gridCol w:w="2940"/>
        <w:gridCol w:w="2916"/>
        <w:gridCol w:w="744"/>
        <w:gridCol w:w="744"/>
        <w:gridCol w:w="744"/>
        <w:gridCol w:w="744"/>
        <w:gridCol w:w="744"/>
      </w:tblGrid>
      <w:tr w:rsidR="00010E21" w:rsidRPr="00010E21" w:rsidTr="00D065A5">
        <w:trPr>
          <w:trHeight w:val="315"/>
        </w:trPr>
        <w:tc>
          <w:tcPr>
            <w:tcW w:w="3298" w:type="dxa"/>
            <w:noWrap/>
            <w:hideMark/>
          </w:tcPr>
          <w:p w:rsidR="00D065A5" w:rsidRPr="00010E21" w:rsidRDefault="00D065A5">
            <w:pPr>
              <w:rPr>
                <w:rFonts w:cstheme="minorHAnsi"/>
                <w:sz w:val="24"/>
                <w:szCs w:val="24"/>
              </w:rPr>
            </w:pPr>
            <w:r w:rsidRPr="00010E21">
              <w:rPr>
                <w:rFonts w:cstheme="minorHAnsi"/>
                <w:sz w:val="24"/>
                <w:szCs w:val="24"/>
              </w:rPr>
              <w:t>Earnings</w:t>
            </w:r>
          </w:p>
        </w:tc>
        <w:tc>
          <w:tcPr>
            <w:tcW w:w="3272" w:type="dxa"/>
            <w:noWrap/>
            <w:hideMark/>
          </w:tcPr>
          <w:p w:rsidR="00D065A5" w:rsidRPr="00010E21" w:rsidRDefault="00D065A5">
            <w:pPr>
              <w:rPr>
                <w:rFonts w:cstheme="minorHAnsi"/>
                <w:sz w:val="24"/>
                <w:szCs w:val="24"/>
              </w:rPr>
            </w:pPr>
            <w:r w:rsidRPr="00010E21">
              <w:rPr>
                <w:rFonts w:cstheme="minorHAnsi"/>
                <w:sz w:val="24"/>
                <w:szCs w:val="24"/>
              </w:rPr>
              <w:t> </w:t>
            </w:r>
          </w:p>
        </w:tc>
        <w:tc>
          <w:tcPr>
            <w:tcW w:w="606" w:type="dxa"/>
            <w:noWrap/>
            <w:hideMark/>
          </w:tcPr>
          <w:p w:rsidR="00D065A5" w:rsidRPr="00010E21" w:rsidRDefault="00D065A5">
            <w:pPr>
              <w:rPr>
                <w:rFonts w:cstheme="minorHAnsi"/>
                <w:sz w:val="24"/>
                <w:szCs w:val="24"/>
              </w:rPr>
            </w:pPr>
            <w:r w:rsidRPr="00010E21">
              <w:rPr>
                <w:rFonts w:cstheme="minorHAnsi"/>
                <w:sz w:val="24"/>
                <w:szCs w:val="24"/>
              </w:rPr>
              <w:t> </w:t>
            </w:r>
          </w:p>
        </w:tc>
        <w:tc>
          <w:tcPr>
            <w:tcW w:w="606" w:type="dxa"/>
            <w:noWrap/>
            <w:hideMark/>
          </w:tcPr>
          <w:p w:rsidR="00D065A5" w:rsidRPr="00010E21" w:rsidRDefault="00D065A5">
            <w:pPr>
              <w:rPr>
                <w:rFonts w:cstheme="minorHAnsi"/>
                <w:sz w:val="24"/>
                <w:szCs w:val="24"/>
              </w:rPr>
            </w:pPr>
            <w:r w:rsidRPr="00010E21">
              <w:rPr>
                <w:rFonts w:cstheme="minorHAnsi"/>
                <w:sz w:val="24"/>
                <w:szCs w:val="24"/>
              </w:rPr>
              <w:t> </w:t>
            </w:r>
          </w:p>
        </w:tc>
        <w:tc>
          <w:tcPr>
            <w:tcW w:w="606" w:type="dxa"/>
            <w:noWrap/>
            <w:hideMark/>
          </w:tcPr>
          <w:p w:rsidR="00D065A5" w:rsidRPr="00010E21" w:rsidRDefault="00D065A5">
            <w:pPr>
              <w:rPr>
                <w:rFonts w:cstheme="minorHAnsi"/>
                <w:sz w:val="24"/>
                <w:szCs w:val="24"/>
              </w:rPr>
            </w:pPr>
            <w:r w:rsidRPr="00010E21">
              <w:rPr>
                <w:rFonts w:cstheme="minorHAnsi"/>
                <w:sz w:val="24"/>
                <w:szCs w:val="24"/>
              </w:rPr>
              <w:t> </w:t>
            </w:r>
          </w:p>
        </w:tc>
        <w:tc>
          <w:tcPr>
            <w:tcW w:w="582" w:type="dxa"/>
            <w:noWrap/>
            <w:hideMark/>
          </w:tcPr>
          <w:p w:rsidR="00D065A5" w:rsidRPr="00010E21" w:rsidRDefault="00D065A5">
            <w:pPr>
              <w:rPr>
                <w:rFonts w:cstheme="minorHAnsi"/>
                <w:sz w:val="24"/>
                <w:szCs w:val="24"/>
              </w:rPr>
            </w:pPr>
            <w:r w:rsidRPr="00010E21">
              <w:rPr>
                <w:rFonts w:cstheme="minorHAnsi"/>
                <w:sz w:val="24"/>
                <w:szCs w:val="24"/>
              </w:rPr>
              <w:t> </w:t>
            </w:r>
          </w:p>
        </w:tc>
        <w:tc>
          <w:tcPr>
            <w:tcW w:w="606" w:type="dxa"/>
            <w:noWrap/>
            <w:hideMark/>
          </w:tcPr>
          <w:p w:rsidR="00D065A5" w:rsidRPr="00010E21" w:rsidRDefault="00D065A5">
            <w:pPr>
              <w:rPr>
                <w:rFonts w:cstheme="minorHAnsi"/>
                <w:sz w:val="24"/>
                <w:szCs w:val="24"/>
              </w:rPr>
            </w:pPr>
            <w:r w:rsidRPr="00010E21">
              <w:rPr>
                <w:rFonts w:cstheme="minorHAnsi"/>
                <w:sz w:val="24"/>
                <w:szCs w:val="24"/>
              </w:rPr>
              <w:t> </w:t>
            </w:r>
          </w:p>
        </w:tc>
      </w:tr>
      <w:tr w:rsidR="00D065A5" w:rsidRPr="00010E21" w:rsidTr="00D065A5">
        <w:trPr>
          <w:trHeight w:val="315"/>
        </w:trPr>
        <w:tc>
          <w:tcPr>
            <w:tcW w:w="3298" w:type="dxa"/>
            <w:noWrap/>
            <w:hideMark/>
          </w:tcPr>
          <w:p w:rsidR="00D065A5" w:rsidRPr="00010E21" w:rsidRDefault="00D065A5">
            <w:pPr>
              <w:rPr>
                <w:rFonts w:cstheme="minorHAnsi"/>
                <w:sz w:val="24"/>
                <w:szCs w:val="24"/>
              </w:rPr>
            </w:pPr>
            <w:r w:rsidRPr="00010E21">
              <w:rPr>
                <w:rFonts w:cstheme="minorHAnsi"/>
                <w:sz w:val="24"/>
                <w:szCs w:val="24"/>
              </w:rPr>
              <w:t>Return On Equity</w:t>
            </w:r>
          </w:p>
        </w:tc>
        <w:tc>
          <w:tcPr>
            <w:tcW w:w="3272" w:type="dxa"/>
            <w:noWrap/>
            <w:hideMark/>
          </w:tcPr>
          <w:p w:rsidR="00D065A5" w:rsidRPr="00010E21" w:rsidRDefault="00D065A5">
            <w:pPr>
              <w:rPr>
                <w:rFonts w:cstheme="minorHAnsi"/>
                <w:sz w:val="24"/>
                <w:szCs w:val="24"/>
              </w:rPr>
            </w:pPr>
            <w:r w:rsidRPr="00010E21">
              <w:rPr>
                <w:rFonts w:cstheme="minorHAnsi"/>
                <w:sz w:val="24"/>
                <w:szCs w:val="24"/>
              </w:rPr>
              <w:t xml:space="preserve">Net income/share holders </w:t>
            </w:r>
            <w:r w:rsidRPr="00010E21">
              <w:rPr>
                <w:rFonts w:cstheme="minorHAnsi"/>
                <w:sz w:val="24"/>
                <w:szCs w:val="24"/>
              </w:rPr>
              <w:lastRenderedPageBreak/>
              <w:t>equity</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lastRenderedPageBreak/>
              <w:t>26%</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22%</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18%</w:t>
            </w:r>
          </w:p>
        </w:tc>
        <w:tc>
          <w:tcPr>
            <w:tcW w:w="582" w:type="dxa"/>
            <w:noWrap/>
            <w:hideMark/>
          </w:tcPr>
          <w:p w:rsidR="00D065A5" w:rsidRPr="00010E21" w:rsidRDefault="00D065A5" w:rsidP="00D065A5">
            <w:pPr>
              <w:rPr>
                <w:rFonts w:cstheme="minorHAnsi"/>
                <w:sz w:val="24"/>
                <w:szCs w:val="24"/>
              </w:rPr>
            </w:pPr>
            <w:r w:rsidRPr="00010E21">
              <w:rPr>
                <w:rFonts w:cstheme="minorHAnsi"/>
                <w:sz w:val="24"/>
                <w:szCs w:val="24"/>
              </w:rPr>
              <w:t>18%</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19%</w:t>
            </w:r>
          </w:p>
        </w:tc>
      </w:tr>
      <w:tr w:rsidR="00D065A5" w:rsidRPr="00010E21" w:rsidTr="00D065A5">
        <w:trPr>
          <w:trHeight w:val="315"/>
        </w:trPr>
        <w:tc>
          <w:tcPr>
            <w:tcW w:w="3298" w:type="dxa"/>
            <w:noWrap/>
            <w:hideMark/>
          </w:tcPr>
          <w:p w:rsidR="00D065A5" w:rsidRPr="00010E21" w:rsidRDefault="00D065A5">
            <w:pPr>
              <w:rPr>
                <w:rFonts w:cstheme="minorHAnsi"/>
                <w:sz w:val="24"/>
                <w:szCs w:val="24"/>
              </w:rPr>
            </w:pPr>
            <w:r w:rsidRPr="00010E21">
              <w:rPr>
                <w:rFonts w:cstheme="minorHAnsi"/>
                <w:sz w:val="24"/>
                <w:szCs w:val="24"/>
              </w:rPr>
              <w:lastRenderedPageBreak/>
              <w:t>Net interest Mark up/Total Assets</w:t>
            </w:r>
          </w:p>
        </w:tc>
        <w:tc>
          <w:tcPr>
            <w:tcW w:w="3272" w:type="dxa"/>
            <w:noWrap/>
            <w:hideMark/>
          </w:tcPr>
          <w:p w:rsidR="00D065A5" w:rsidRPr="00010E21" w:rsidRDefault="00D065A5">
            <w:pPr>
              <w:rPr>
                <w:rFonts w:cstheme="minorHAnsi"/>
                <w:sz w:val="24"/>
                <w:szCs w:val="24"/>
              </w:rPr>
            </w:pPr>
            <w:r w:rsidRPr="00010E21">
              <w:rPr>
                <w:rFonts w:cstheme="minorHAnsi"/>
                <w:sz w:val="24"/>
                <w:szCs w:val="24"/>
              </w:rPr>
              <w:t>Net Interest Mark up/Total Assets</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4.15%</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3.00%</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2.66%</w:t>
            </w:r>
          </w:p>
        </w:tc>
        <w:tc>
          <w:tcPr>
            <w:tcW w:w="582" w:type="dxa"/>
            <w:noWrap/>
            <w:hideMark/>
          </w:tcPr>
          <w:p w:rsidR="00D065A5" w:rsidRPr="00010E21" w:rsidRDefault="00D065A5" w:rsidP="00D065A5">
            <w:pPr>
              <w:rPr>
                <w:rFonts w:cstheme="minorHAnsi"/>
                <w:sz w:val="24"/>
                <w:szCs w:val="24"/>
              </w:rPr>
            </w:pPr>
            <w:r w:rsidRPr="00010E21">
              <w:rPr>
                <w:rFonts w:cstheme="minorHAnsi"/>
                <w:sz w:val="24"/>
                <w:szCs w:val="24"/>
              </w:rPr>
              <w:t>2.72%</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3.43%</w:t>
            </w:r>
          </w:p>
        </w:tc>
      </w:tr>
      <w:tr w:rsidR="00D065A5" w:rsidRPr="00010E21" w:rsidTr="00D065A5">
        <w:trPr>
          <w:trHeight w:val="315"/>
        </w:trPr>
        <w:tc>
          <w:tcPr>
            <w:tcW w:w="3298" w:type="dxa"/>
            <w:noWrap/>
            <w:hideMark/>
          </w:tcPr>
          <w:p w:rsidR="00D065A5" w:rsidRPr="00010E21" w:rsidRDefault="00D065A5">
            <w:pPr>
              <w:rPr>
                <w:rFonts w:cstheme="minorHAnsi"/>
                <w:sz w:val="24"/>
                <w:szCs w:val="24"/>
              </w:rPr>
            </w:pPr>
            <w:r w:rsidRPr="00010E21">
              <w:rPr>
                <w:rFonts w:cstheme="minorHAnsi"/>
                <w:sz w:val="24"/>
                <w:szCs w:val="24"/>
              </w:rPr>
              <w:t>Return On Assets</w:t>
            </w:r>
          </w:p>
        </w:tc>
        <w:tc>
          <w:tcPr>
            <w:tcW w:w="3272" w:type="dxa"/>
            <w:noWrap/>
            <w:hideMark/>
          </w:tcPr>
          <w:p w:rsidR="00D065A5" w:rsidRPr="00010E21" w:rsidRDefault="00D065A5">
            <w:pPr>
              <w:rPr>
                <w:rFonts w:cstheme="minorHAnsi"/>
                <w:sz w:val="24"/>
                <w:szCs w:val="24"/>
              </w:rPr>
            </w:pPr>
            <w:r w:rsidRPr="00010E21">
              <w:rPr>
                <w:rFonts w:cstheme="minorHAnsi"/>
                <w:sz w:val="24"/>
                <w:szCs w:val="24"/>
              </w:rPr>
              <w:t>Profit/loss after taxation/ Total Assets</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1.36%</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0.96%</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0.82%</w:t>
            </w:r>
          </w:p>
        </w:tc>
        <w:tc>
          <w:tcPr>
            <w:tcW w:w="582" w:type="dxa"/>
            <w:noWrap/>
            <w:hideMark/>
          </w:tcPr>
          <w:p w:rsidR="00D065A5" w:rsidRPr="00010E21" w:rsidRDefault="00D065A5" w:rsidP="00D065A5">
            <w:pPr>
              <w:rPr>
                <w:rFonts w:cstheme="minorHAnsi"/>
                <w:sz w:val="24"/>
                <w:szCs w:val="24"/>
              </w:rPr>
            </w:pPr>
            <w:r w:rsidRPr="00010E21">
              <w:rPr>
                <w:rFonts w:cstheme="minorHAnsi"/>
                <w:sz w:val="24"/>
                <w:szCs w:val="24"/>
              </w:rPr>
              <w:t>1%</w:t>
            </w:r>
          </w:p>
        </w:tc>
        <w:tc>
          <w:tcPr>
            <w:tcW w:w="606" w:type="dxa"/>
            <w:noWrap/>
            <w:hideMark/>
          </w:tcPr>
          <w:p w:rsidR="00D065A5" w:rsidRPr="00010E21" w:rsidRDefault="00D065A5" w:rsidP="00D065A5">
            <w:pPr>
              <w:rPr>
                <w:rFonts w:cstheme="minorHAnsi"/>
                <w:sz w:val="24"/>
                <w:szCs w:val="24"/>
              </w:rPr>
            </w:pPr>
            <w:r w:rsidRPr="00010E21">
              <w:rPr>
                <w:rFonts w:cstheme="minorHAnsi"/>
                <w:sz w:val="24"/>
                <w:szCs w:val="24"/>
              </w:rPr>
              <w:t>1%</w:t>
            </w:r>
          </w:p>
        </w:tc>
      </w:tr>
    </w:tbl>
    <w:p w:rsidR="00D065A5" w:rsidRPr="00010E21" w:rsidRDefault="00D065A5" w:rsidP="00D065A5">
      <w:pPr>
        <w:rPr>
          <w:rFonts w:cstheme="minorHAnsi"/>
          <w:sz w:val="24"/>
          <w:szCs w:val="24"/>
        </w:rPr>
      </w:pPr>
    </w:p>
    <w:p w:rsidR="00D065A5" w:rsidRPr="00010E21" w:rsidRDefault="00E74F54" w:rsidP="00D065A5">
      <w:pPr>
        <w:rPr>
          <w:rFonts w:cstheme="minorHAnsi"/>
          <w:sz w:val="24"/>
          <w:szCs w:val="24"/>
        </w:rPr>
      </w:pPr>
      <w:r w:rsidRPr="00010E21">
        <w:rPr>
          <w:rFonts w:cstheme="minorHAnsi"/>
          <w:sz w:val="24"/>
          <w:szCs w:val="24"/>
        </w:rPr>
        <w:t>Liquidity</w:t>
      </w:r>
      <w:r w:rsidR="00D065A5" w:rsidRPr="00010E21">
        <w:rPr>
          <w:rFonts w:cstheme="minorHAnsi"/>
          <w:sz w:val="24"/>
          <w:szCs w:val="24"/>
        </w:rPr>
        <w:t>:</w:t>
      </w:r>
    </w:p>
    <w:p w:rsidR="00D065A5" w:rsidRPr="00010E21" w:rsidRDefault="00D065A5" w:rsidP="00D065A5">
      <w:pPr>
        <w:rPr>
          <w:rFonts w:cstheme="minorHAnsi"/>
          <w:sz w:val="24"/>
          <w:szCs w:val="24"/>
        </w:rPr>
      </w:pPr>
      <w:r w:rsidRPr="00010E21">
        <w:rPr>
          <w:rFonts w:cstheme="minorHAnsi"/>
          <w:sz w:val="24"/>
          <w:szCs w:val="24"/>
        </w:rPr>
        <w:t>The loan-to-deposit ratio (LDR) is used to assess a bank's liquidity by comparing a bank's total loans to its total deposits for the same period. The LDR is expressed as a percentage. If the ratio is too high, it means that the bank may not have enough liquidity to cover any unforeseen fund requirements. Conversely, if the ratio is too low, the bank may not be earning as much as it could be.</w:t>
      </w:r>
    </w:p>
    <w:p w:rsidR="00D065A5" w:rsidRPr="00010E21" w:rsidRDefault="00D065A5" w:rsidP="00D065A5">
      <w:pPr>
        <w:rPr>
          <w:rFonts w:cstheme="minorHAnsi"/>
          <w:sz w:val="24"/>
          <w:szCs w:val="24"/>
        </w:rPr>
      </w:pPr>
      <w:r w:rsidRPr="00010E21">
        <w:rPr>
          <w:rFonts w:cstheme="minorHAnsi"/>
          <w:sz w:val="24"/>
          <w:szCs w:val="24"/>
        </w:rPr>
        <w:t>A loan-to-deposit ratio shows a bank's ability to cover loan losses and withdrawals by its customers. Investors monitor the LDR of banks to make sure there's adequate liquidity to cover loans in the event of an economic downturn resulting in loan defaults.</w:t>
      </w:r>
    </w:p>
    <w:p w:rsidR="00D065A5" w:rsidRPr="00010E21" w:rsidRDefault="00D065A5" w:rsidP="00D065A5">
      <w:pPr>
        <w:rPr>
          <w:rFonts w:cstheme="minorHAnsi"/>
          <w:sz w:val="24"/>
          <w:szCs w:val="24"/>
        </w:rPr>
      </w:pPr>
    </w:p>
    <w:p w:rsidR="00D065A5" w:rsidRPr="00010E21" w:rsidRDefault="00D065A5" w:rsidP="00D065A5">
      <w:pPr>
        <w:rPr>
          <w:rFonts w:cstheme="minorHAnsi"/>
          <w:sz w:val="24"/>
          <w:szCs w:val="24"/>
        </w:rPr>
      </w:pPr>
      <w:r w:rsidRPr="00010E21">
        <w:rPr>
          <w:rFonts w:cstheme="minorHAnsi"/>
          <w:sz w:val="24"/>
          <w:szCs w:val="24"/>
        </w:rPr>
        <w:t>Also, the LDR helps to show how well a bank is attracting and retaining customers. If a bank's deposits are increasing, new money and new clients are being on-boarded. As a result, the bank will likely have more money to lend, which should increase earnings. Although it's counterintuitive, loans are an asset for a bank since banks earn interest income from lending. Deposits, on the other hand, are liabilities because banks must pay an interest rate on those deposits, albeit at a low rate.</w:t>
      </w:r>
    </w:p>
    <w:p w:rsidR="00D065A5" w:rsidRPr="00010E21" w:rsidRDefault="00B24819" w:rsidP="00D065A5">
      <w:pPr>
        <w:rPr>
          <w:rFonts w:cstheme="minorHAnsi"/>
          <w:sz w:val="24"/>
          <w:szCs w:val="24"/>
        </w:rPr>
      </w:pPr>
      <w:r w:rsidRPr="00010E21">
        <w:rPr>
          <w:rFonts w:cstheme="minorHAnsi"/>
          <w:sz w:val="24"/>
          <w:szCs w:val="24"/>
        </w:rPr>
        <w:t>Investment to Deposit Ratio Interpretation: Investment to deposit ratio shows that which amount of deposit is used to as investment. If investment to deposit ratio is increasing year by year .That means, Bank is properly using their deposits in different profitable sectors in the domestic and foreign arena.</w:t>
      </w:r>
    </w:p>
    <w:tbl>
      <w:tblPr>
        <w:tblStyle w:val="TableGrid"/>
        <w:tblW w:w="0" w:type="auto"/>
        <w:tblLook w:val="04A0" w:firstRow="1" w:lastRow="0" w:firstColumn="1" w:lastColumn="0" w:noHBand="0" w:noVBand="1"/>
      </w:tblPr>
      <w:tblGrid>
        <w:gridCol w:w="3229"/>
        <w:gridCol w:w="3205"/>
        <w:gridCol w:w="642"/>
        <w:gridCol w:w="642"/>
        <w:gridCol w:w="642"/>
        <w:gridCol w:w="574"/>
        <w:gridCol w:w="642"/>
      </w:tblGrid>
      <w:tr w:rsidR="00B24819" w:rsidRPr="00010E21" w:rsidTr="00B24819">
        <w:trPr>
          <w:trHeight w:val="315"/>
        </w:trPr>
        <w:tc>
          <w:tcPr>
            <w:tcW w:w="5300" w:type="dxa"/>
            <w:noWrap/>
            <w:hideMark/>
          </w:tcPr>
          <w:p w:rsidR="00B24819" w:rsidRPr="00010E21" w:rsidRDefault="00B24819">
            <w:pPr>
              <w:rPr>
                <w:rFonts w:cstheme="minorHAnsi"/>
                <w:sz w:val="24"/>
                <w:szCs w:val="24"/>
              </w:rPr>
            </w:pPr>
            <w:r w:rsidRPr="00010E21">
              <w:rPr>
                <w:rFonts w:cstheme="minorHAnsi"/>
                <w:sz w:val="24"/>
                <w:szCs w:val="24"/>
              </w:rPr>
              <w:t>Liquidity</w:t>
            </w:r>
          </w:p>
        </w:tc>
        <w:tc>
          <w:tcPr>
            <w:tcW w:w="5260" w:type="dxa"/>
            <w:noWrap/>
            <w:hideMark/>
          </w:tcPr>
          <w:p w:rsidR="00B24819" w:rsidRPr="00010E21" w:rsidRDefault="00B24819">
            <w:pPr>
              <w:rPr>
                <w:rFonts w:cstheme="minorHAnsi"/>
                <w:sz w:val="24"/>
                <w:szCs w:val="24"/>
              </w:rPr>
            </w:pPr>
            <w:r w:rsidRPr="00010E21">
              <w:rPr>
                <w:rFonts w:cstheme="minorHAnsi"/>
                <w:sz w:val="24"/>
                <w:szCs w:val="24"/>
              </w:rPr>
              <w:t> </w:t>
            </w:r>
          </w:p>
        </w:tc>
        <w:tc>
          <w:tcPr>
            <w:tcW w:w="860" w:type="dxa"/>
            <w:noWrap/>
            <w:hideMark/>
          </w:tcPr>
          <w:p w:rsidR="00B24819" w:rsidRPr="00010E21" w:rsidRDefault="00B24819">
            <w:pPr>
              <w:rPr>
                <w:rFonts w:cstheme="minorHAnsi"/>
                <w:sz w:val="24"/>
                <w:szCs w:val="24"/>
              </w:rPr>
            </w:pPr>
            <w:r w:rsidRPr="00010E21">
              <w:rPr>
                <w:rFonts w:cstheme="minorHAnsi"/>
                <w:sz w:val="24"/>
                <w:szCs w:val="24"/>
              </w:rPr>
              <w:t> </w:t>
            </w:r>
          </w:p>
        </w:tc>
        <w:tc>
          <w:tcPr>
            <w:tcW w:w="860" w:type="dxa"/>
            <w:noWrap/>
            <w:hideMark/>
          </w:tcPr>
          <w:p w:rsidR="00B24819" w:rsidRPr="00010E21" w:rsidRDefault="00B24819">
            <w:pPr>
              <w:rPr>
                <w:rFonts w:cstheme="minorHAnsi"/>
                <w:sz w:val="24"/>
                <w:szCs w:val="24"/>
              </w:rPr>
            </w:pPr>
            <w:r w:rsidRPr="00010E21">
              <w:rPr>
                <w:rFonts w:cstheme="minorHAnsi"/>
                <w:sz w:val="24"/>
                <w:szCs w:val="24"/>
              </w:rPr>
              <w:t> </w:t>
            </w:r>
          </w:p>
        </w:tc>
        <w:tc>
          <w:tcPr>
            <w:tcW w:w="860" w:type="dxa"/>
            <w:noWrap/>
            <w:hideMark/>
          </w:tcPr>
          <w:p w:rsidR="00B24819" w:rsidRPr="00010E21" w:rsidRDefault="00B24819">
            <w:pPr>
              <w:rPr>
                <w:rFonts w:cstheme="minorHAnsi"/>
                <w:sz w:val="24"/>
                <w:szCs w:val="24"/>
              </w:rPr>
            </w:pPr>
            <w:r w:rsidRPr="00010E21">
              <w:rPr>
                <w:rFonts w:cstheme="minorHAnsi"/>
                <w:sz w:val="24"/>
                <w:szCs w:val="24"/>
              </w:rPr>
              <w:t> </w:t>
            </w:r>
          </w:p>
        </w:tc>
        <w:tc>
          <w:tcPr>
            <w:tcW w:w="820" w:type="dxa"/>
            <w:noWrap/>
            <w:hideMark/>
          </w:tcPr>
          <w:p w:rsidR="00B24819" w:rsidRPr="00010E21" w:rsidRDefault="00B24819">
            <w:pPr>
              <w:rPr>
                <w:rFonts w:cstheme="minorHAnsi"/>
                <w:sz w:val="24"/>
                <w:szCs w:val="24"/>
              </w:rPr>
            </w:pPr>
            <w:r w:rsidRPr="00010E21">
              <w:rPr>
                <w:rFonts w:cstheme="minorHAnsi"/>
                <w:sz w:val="24"/>
                <w:szCs w:val="24"/>
              </w:rPr>
              <w:t> </w:t>
            </w:r>
          </w:p>
        </w:tc>
        <w:tc>
          <w:tcPr>
            <w:tcW w:w="860" w:type="dxa"/>
            <w:noWrap/>
            <w:hideMark/>
          </w:tcPr>
          <w:p w:rsidR="00B24819" w:rsidRPr="00010E21" w:rsidRDefault="00B24819">
            <w:pPr>
              <w:rPr>
                <w:rFonts w:cstheme="minorHAnsi"/>
                <w:sz w:val="24"/>
                <w:szCs w:val="24"/>
              </w:rPr>
            </w:pPr>
            <w:r w:rsidRPr="00010E21">
              <w:rPr>
                <w:rFonts w:cstheme="minorHAnsi"/>
                <w:sz w:val="24"/>
                <w:szCs w:val="24"/>
              </w:rPr>
              <w:t> </w:t>
            </w:r>
          </w:p>
        </w:tc>
      </w:tr>
      <w:tr w:rsidR="00B24819" w:rsidRPr="00010E21" w:rsidTr="00B24819">
        <w:trPr>
          <w:trHeight w:val="315"/>
        </w:trPr>
        <w:tc>
          <w:tcPr>
            <w:tcW w:w="5300" w:type="dxa"/>
            <w:noWrap/>
            <w:hideMark/>
          </w:tcPr>
          <w:p w:rsidR="00B24819" w:rsidRPr="00010E21" w:rsidRDefault="00B24819">
            <w:pPr>
              <w:rPr>
                <w:rFonts w:cstheme="minorHAnsi"/>
                <w:sz w:val="24"/>
                <w:szCs w:val="24"/>
              </w:rPr>
            </w:pPr>
            <w:r w:rsidRPr="00010E21">
              <w:rPr>
                <w:rFonts w:cstheme="minorHAnsi"/>
                <w:sz w:val="24"/>
                <w:szCs w:val="24"/>
              </w:rPr>
              <w:t>Finance to Deposit</w:t>
            </w:r>
          </w:p>
        </w:tc>
        <w:tc>
          <w:tcPr>
            <w:tcW w:w="5260" w:type="dxa"/>
            <w:noWrap/>
            <w:hideMark/>
          </w:tcPr>
          <w:p w:rsidR="00B24819" w:rsidRPr="00010E21" w:rsidRDefault="00B24819">
            <w:pPr>
              <w:rPr>
                <w:rFonts w:cstheme="minorHAnsi"/>
                <w:sz w:val="24"/>
                <w:szCs w:val="24"/>
              </w:rPr>
            </w:pPr>
            <w:r w:rsidRPr="00010E21">
              <w:rPr>
                <w:rFonts w:cstheme="minorHAnsi"/>
                <w:sz w:val="24"/>
                <w:szCs w:val="24"/>
              </w:rPr>
              <w:t>Finances/Deposits</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52.95%</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65.26%</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62.39%</w:t>
            </w:r>
          </w:p>
        </w:tc>
        <w:tc>
          <w:tcPr>
            <w:tcW w:w="820" w:type="dxa"/>
            <w:noWrap/>
            <w:hideMark/>
          </w:tcPr>
          <w:p w:rsidR="00B24819" w:rsidRPr="00010E21" w:rsidRDefault="00B24819" w:rsidP="00B24819">
            <w:pPr>
              <w:rPr>
                <w:rFonts w:cstheme="minorHAnsi"/>
                <w:sz w:val="24"/>
                <w:szCs w:val="24"/>
              </w:rPr>
            </w:pPr>
            <w:r w:rsidRPr="00010E21">
              <w:rPr>
                <w:rFonts w:cstheme="minorHAnsi"/>
                <w:sz w:val="24"/>
                <w:szCs w:val="24"/>
              </w:rPr>
              <w:t>55.2%</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43.99%</w:t>
            </w:r>
          </w:p>
        </w:tc>
      </w:tr>
      <w:tr w:rsidR="00B24819" w:rsidRPr="00010E21" w:rsidTr="00B24819">
        <w:trPr>
          <w:trHeight w:val="315"/>
        </w:trPr>
        <w:tc>
          <w:tcPr>
            <w:tcW w:w="5300" w:type="dxa"/>
            <w:noWrap/>
            <w:hideMark/>
          </w:tcPr>
          <w:p w:rsidR="00B24819" w:rsidRPr="00010E21" w:rsidRDefault="00B24819">
            <w:pPr>
              <w:rPr>
                <w:rFonts w:cstheme="minorHAnsi"/>
                <w:sz w:val="24"/>
                <w:szCs w:val="24"/>
              </w:rPr>
            </w:pPr>
            <w:r w:rsidRPr="00010E21">
              <w:rPr>
                <w:rFonts w:cstheme="minorHAnsi"/>
                <w:sz w:val="24"/>
                <w:szCs w:val="24"/>
              </w:rPr>
              <w:t>Investment to Deposits</w:t>
            </w:r>
          </w:p>
        </w:tc>
        <w:tc>
          <w:tcPr>
            <w:tcW w:w="5260" w:type="dxa"/>
            <w:noWrap/>
            <w:hideMark/>
          </w:tcPr>
          <w:p w:rsidR="00B24819" w:rsidRPr="00010E21" w:rsidRDefault="00B24819">
            <w:pPr>
              <w:rPr>
                <w:rFonts w:cstheme="minorHAnsi"/>
                <w:sz w:val="24"/>
                <w:szCs w:val="24"/>
              </w:rPr>
            </w:pPr>
            <w:r w:rsidRPr="00010E21">
              <w:rPr>
                <w:rFonts w:cstheme="minorHAnsi"/>
                <w:sz w:val="24"/>
                <w:szCs w:val="24"/>
              </w:rPr>
              <w:t>Investment/Deposits</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24.20%</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15.75%</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17.71%</w:t>
            </w:r>
          </w:p>
        </w:tc>
        <w:tc>
          <w:tcPr>
            <w:tcW w:w="820" w:type="dxa"/>
            <w:noWrap/>
            <w:hideMark/>
          </w:tcPr>
          <w:p w:rsidR="00B24819" w:rsidRPr="00010E21" w:rsidRDefault="00B24819" w:rsidP="00B24819">
            <w:pPr>
              <w:rPr>
                <w:rFonts w:cstheme="minorHAnsi"/>
                <w:sz w:val="24"/>
                <w:szCs w:val="24"/>
              </w:rPr>
            </w:pPr>
            <w:r w:rsidRPr="00010E21">
              <w:rPr>
                <w:rFonts w:cstheme="minorHAnsi"/>
                <w:sz w:val="24"/>
                <w:szCs w:val="24"/>
              </w:rPr>
              <w:t>23.1%</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16.30%</w:t>
            </w:r>
          </w:p>
        </w:tc>
      </w:tr>
      <w:tr w:rsidR="00B24819" w:rsidRPr="00010E21" w:rsidTr="00B24819">
        <w:trPr>
          <w:trHeight w:val="315"/>
        </w:trPr>
        <w:tc>
          <w:tcPr>
            <w:tcW w:w="5300" w:type="dxa"/>
            <w:noWrap/>
            <w:hideMark/>
          </w:tcPr>
          <w:p w:rsidR="00B24819" w:rsidRPr="00010E21" w:rsidRDefault="00B24819">
            <w:pPr>
              <w:rPr>
                <w:rFonts w:cstheme="minorHAnsi"/>
                <w:sz w:val="24"/>
                <w:szCs w:val="24"/>
              </w:rPr>
            </w:pPr>
            <w:r w:rsidRPr="00010E21">
              <w:rPr>
                <w:rFonts w:cstheme="minorHAnsi"/>
                <w:sz w:val="24"/>
                <w:szCs w:val="24"/>
              </w:rPr>
              <w:t>(Current account+Saving account) to total deposits</w:t>
            </w:r>
          </w:p>
        </w:tc>
        <w:tc>
          <w:tcPr>
            <w:tcW w:w="5260" w:type="dxa"/>
            <w:noWrap/>
            <w:hideMark/>
          </w:tcPr>
          <w:p w:rsidR="00B24819" w:rsidRPr="00010E21" w:rsidRDefault="00B24819">
            <w:pPr>
              <w:rPr>
                <w:rFonts w:cstheme="minorHAnsi"/>
                <w:sz w:val="24"/>
                <w:szCs w:val="24"/>
              </w:rPr>
            </w:pPr>
            <w:r w:rsidRPr="00010E21">
              <w:rPr>
                <w:rFonts w:cstheme="minorHAnsi"/>
                <w:sz w:val="24"/>
                <w:szCs w:val="24"/>
              </w:rPr>
              <w:t> </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73.27%</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72.3%</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74.2%</w:t>
            </w:r>
          </w:p>
        </w:tc>
        <w:tc>
          <w:tcPr>
            <w:tcW w:w="820" w:type="dxa"/>
            <w:noWrap/>
            <w:hideMark/>
          </w:tcPr>
          <w:p w:rsidR="00B24819" w:rsidRPr="00010E21" w:rsidRDefault="00B24819" w:rsidP="00B24819">
            <w:pPr>
              <w:rPr>
                <w:rFonts w:cstheme="minorHAnsi"/>
                <w:sz w:val="24"/>
                <w:szCs w:val="24"/>
              </w:rPr>
            </w:pPr>
            <w:r w:rsidRPr="00010E21">
              <w:rPr>
                <w:rFonts w:cstheme="minorHAnsi"/>
                <w:sz w:val="24"/>
                <w:szCs w:val="24"/>
              </w:rPr>
              <w:t>74.5%</w:t>
            </w:r>
          </w:p>
        </w:tc>
        <w:tc>
          <w:tcPr>
            <w:tcW w:w="860" w:type="dxa"/>
            <w:noWrap/>
            <w:hideMark/>
          </w:tcPr>
          <w:p w:rsidR="00B24819" w:rsidRPr="00010E21" w:rsidRDefault="00B24819" w:rsidP="00B24819">
            <w:pPr>
              <w:rPr>
                <w:rFonts w:cstheme="minorHAnsi"/>
                <w:sz w:val="24"/>
                <w:szCs w:val="24"/>
              </w:rPr>
            </w:pPr>
            <w:r w:rsidRPr="00010E21">
              <w:rPr>
                <w:rFonts w:cstheme="minorHAnsi"/>
                <w:sz w:val="24"/>
                <w:szCs w:val="24"/>
              </w:rPr>
              <w:t>71.85%</w:t>
            </w:r>
          </w:p>
        </w:tc>
      </w:tr>
    </w:tbl>
    <w:p w:rsidR="00B24819" w:rsidRPr="00010E21" w:rsidRDefault="00B24819" w:rsidP="00D065A5">
      <w:pPr>
        <w:rPr>
          <w:rFonts w:cstheme="minorHAnsi"/>
          <w:sz w:val="24"/>
          <w:szCs w:val="24"/>
        </w:rPr>
      </w:pPr>
    </w:p>
    <w:p w:rsidR="00010E21" w:rsidRPr="00010E21" w:rsidRDefault="00010E21" w:rsidP="00D065A5">
      <w:pPr>
        <w:rPr>
          <w:rFonts w:cstheme="minorHAnsi"/>
          <w:sz w:val="24"/>
          <w:szCs w:val="24"/>
        </w:rPr>
      </w:pPr>
    </w:p>
    <w:sectPr w:rsidR="00010E21" w:rsidRPr="00010E21" w:rsidSect="0033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3E"/>
    <w:rsid w:val="00010E21"/>
    <w:rsid w:val="00334601"/>
    <w:rsid w:val="00345325"/>
    <w:rsid w:val="0091763E"/>
    <w:rsid w:val="00B24819"/>
    <w:rsid w:val="00D065A5"/>
    <w:rsid w:val="00DC1FE3"/>
    <w:rsid w:val="00E7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01070-4C5C-486D-87C4-1E9C2E06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63E"/>
    <w:rPr>
      <w:rFonts w:ascii="Tahoma" w:hAnsi="Tahoma" w:cs="Tahoma"/>
      <w:sz w:val="16"/>
      <w:szCs w:val="16"/>
    </w:rPr>
  </w:style>
  <w:style w:type="table" w:styleId="TableGrid">
    <w:name w:val="Table Grid"/>
    <w:basedOn w:val="TableNormal"/>
    <w:uiPriority w:val="59"/>
    <w:rsid w:val="009176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91763E"/>
    <w:rPr>
      <w:color w:val="0000FF"/>
      <w:u w:val="single"/>
    </w:rPr>
  </w:style>
  <w:style w:type="paragraph" w:customStyle="1" w:styleId="comp">
    <w:name w:val="comp"/>
    <w:basedOn w:val="Normal"/>
    <w:rsid w:val="009176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87397">
      <w:bodyDiv w:val="1"/>
      <w:marLeft w:val="0"/>
      <w:marRight w:val="0"/>
      <w:marTop w:val="0"/>
      <w:marBottom w:val="0"/>
      <w:divBdr>
        <w:top w:val="none" w:sz="0" w:space="0" w:color="auto"/>
        <w:left w:val="none" w:sz="0" w:space="0" w:color="auto"/>
        <w:bottom w:val="none" w:sz="0" w:space="0" w:color="auto"/>
        <w:right w:val="none" w:sz="0" w:space="0" w:color="auto"/>
      </w:divBdr>
    </w:div>
    <w:div w:id="370417625">
      <w:bodyDiv w:val="1"/>
      <w:marLeft w:val="0"/>
      <w:marRight w:val="0"/>
      <w:marTop w:val="0"/>
      <w:marBottom w:val="0"/>
      <w:divBdr>
        <w:top w:val="none" w:sz="0" w:space="0" w:color="auto"/>
        <w:left w:val="none" w:sz="0" w:space="0" w:color="auto"/>
        <w:bottom w:val="none" w:sz="0" w:space="0" w:color="auto"/>
        <w:right w:val="none" w:sz="0" w:space="0" w:color="auto"/>
      </w:divBdr>
    </w:div>
    <w:div w:id="421800074">
      <w:bodyDiv w:val="1"/>
      <w:marLeft w:val="0"/>
      <w:marRight w:val="0"/>
      <w:marTop w:val="0"/>
      <w:marBottom w:val="0"/>
      <w:divBdr>
        <w:top w:val="none" w:sz="0" w:space="0" w:color="auto"/>
        <w:left w:val="none" w:sz="0" w:space="0" w:color="auto"/>
        <w:bottom w:val="none" w:sz="0" w:space="0" w:color="auto"/>
        <w:right w:val="none" w:sz="0" w:space="0" w:color="auto"/>
      </w:divBdr>
    </w:div>
    <w:div w:id="455832539">
      <w:bodyDiv w:val="1"/>
      <w:marLeft w:val="0"/>
      <w:marRight w:val="0"/>
      <w:marTop w:val="0"/>
      <w:marBottom w:val="0"/>
      <w:divBdr>
        <w:top w:val="none" w:sz="0" w:space="0" w:color="auto"/>
        <w:left w:val="none" w:sz="0" w:space="0" w:color="auto"/>
        <w:bottom w:val="none" w:sz="0" w:space="0" w:color="auto"/>
        <w:right w:val="none" w:sz="0" w:space="0" w:color="auto"/>
      </w:divBdr>
    </w:div>
    <w:div w:id="575438839">
      <w:bodyDiv w:val="1"/>
      <w:marLeft w:val="0"/>
      <w:marRight w:val="0"/>
      <w:marTop w:val="0"/>
      <w:marBottom w:val="0"/>
      <w:divBdr>
        <w:top w:val="none" w:sz="0" w:space="0" w:color="auto"/>
        <w:left w:val="none" w:sz="0" w:space="0" w:color="auto"/>
        <w:bottom w:val="none" w:sz="0" w:space="0" w:color="auto"/>
        <w:right w:val="none" w:sz="0" w:space="0" w:color="auto"/>
      </w:divBdr>
    </w:div>
    <w:div w:id="614869161">
      <w:bodyDiv w:val="1"/>
      <w:marLeft w:val="0"/>
      <w:marRight w:val="0"/>
      <w:marTop w:val="0"/>
      <w:marBottom w:val="0"/>
      <w:divBdr>
        <w:top w:val="none" w:sz="0" w:space="0" w:color="auto"/>
        <w:left w:val="none" w:sz="0" w:space="0" w:color="auto"/>
        <w:bottom w:val="none" w:sz="0" w:space="0" w:color="auto"/>
        <w:right w:val="none" w:sz="0" w:space="0" w:color="auto"/>
      </w:divBdr>
    </w:div>
    <w:div w:id="690032187">
      <w:bodyDiv w:val="1"/>
      <w:marLeft w:val="0"/>
      <w:marRight w:val="0"/>
      <w:marTop w:val="0"/>
      <w:marBottom w:val="0"/>
      <w:divBdr>
        <w:top w:val="none" w:sz="0" w:space="0" w:color="auto"/>
        <w:left w:val="none" w:sz="0" w:space="0" w:color="auto"/>
        <w:bottom w:val="none" w:sz="0" w:space="0" w:color="auto"/>
        <w:right w:val="none" w:sz="0" w:space="0" w:color="auto"/>
      </w:divBdr>
    </w:div>
    <w:div w:id="705642838">
      <w:bodyDiv w:val="1"/>
      <w:marLeft w:val="0"/>
      <w:marRight w:val="0"/>
      <w:marTop w:val="0"/>
      <w:marBottom w:val="0"/>
      <w:divBdr>
        <w:top w:val="none" w:sz="0" w:space="0" w:color="auto"/>
        <w:left w:val="none" w:sz="0" w:space="0" w:color="auto"/>
        <w:bottom w:val="none" w:sz="0" w:space="0" w:color="auto"/>
        <w:right w:val="none" w:sz="0" w:space="0" w:color="auto"/>
      </w:divBdr>
    </w:div>
    <w:div w:id="1030763355">
      <w:bodyDiv w:val="1"/>
      <w:marLeft w:val="0"/>
      <w:marRight w:val="0"/>
      <w:marTop w:val="0"/>
      <w:marBottom w:val="0"/>
      <w:divBdr>
        <w:top w:val="none" w:sz="0" w:space="0" w:color="auto"/>
        <w:left w:val="none" w:sz="0" w:space="0" w:color="auto"/>
        <w:bottom w:val="none" w:sz="0" w:space="0" w:color="auto"/>
        <w:right w:val="none" w:sz="0" w:space="0" w:color="auto"/>
      </w:divBdr>
    </w:div>
    <w:div w:id="1146976554">
      <w:bodyDiv w:val="1"/>
      <w:marLeft w:val="0"/>
      <w:marRight w:val="0"/>
      <w:marTop w:val="0"/>
      <w:marBottom w:val="0"/>
      <w:divBdr>
        <w:top w:val="none" w:sz="0" w:space="0" w:color="auto"/>
        <w:left w:val="none" w:sz="0" w:space="0" w:color="auto"/>
        <w:bottom w:val="none" w:sz="0" w:space="0" w:color="auto"/>
        <w:right w:val="none" w:sz="0" w:space="0" w:color="auto"/>
      </w:divBdr>
    </w:div>
    <w:div w:id="1238246967">
      <w:bodyDiv w:val="1"/>
      <w:marLeft w:val="0"/>
      <w:marRight w:val="0"/>
      <w:marTop w:val="0"/>
      <w:marBottom w:val="0"/>
      <w:divBdr>
        <w:top w:val="none" w:sz="0" w:space="0" w:color="auto"/>
        <w:left w:val="none" w:sz="0" w:space="0" w:color="auto"/>
        <w:bottom w:val="none" w:sz="0" w:space="0" w:color="auto"/>
        <w:right w:val="none" w:sz="0" w:space="0" w:color="auto"/>
      </w:divBdr>
    </w:div>
    <w:div w:id="1369717952">
      <w:bodyDiv w:val="1"/>
      <w:marLeft w:val="0"/>
      <w:marRight w:val="0"/>
      <w:marTop w:val="0"/>
      <w:marBottom w:val="0"/>
      <w:divBdr>
        <w:top w:val="none" w:sz="0" w:space="0" w:color="auto"/>
        <w:left w:val="none" w:sz="0" w:space="0" w:color="auto"/>
        <w:bottom w:val="none" w:sz="0" w:space="0" w:color="auto"/>
        <w:right w:val="none" w:sz="0" w:space="0" w:color="auto"/>
      </w:divBdr>
    </w:div>
    <w:div w:id="1501045434">
      <w:bodyDiv w:val="1"/>
      <w:marLeft w:val="0"/>
      <w:marRight w:val="0"/>
      <w:marTop w:val="0"/>
      <w:marBottom w:val="0"/>
      <w:divBdr>
        <w:top w:val="none" w:sz="0" w:space="0" w:color="auto"/>
        <w:left w:val="none" w:sz="0" w:space="0" w:color="auto"/>
        <w:bottom w:val="none" w:sz="0" w:space="0" w:color="auto"/>
        <w:right w:val="none" w:sz="0" w:space="0" w:color="auto"/>
      </w:divBdr>
    </w:div>
    <w:div w:id="1619682442">
      <w:bodyDiv w:val="1"/>
      <w:marLeft w:val="0"/>
      <w:marRight w:val="0"/>
      <w:marTop w:val="0"/>
      <w:marBottom w:val="0"/>
      <w:divBdr>
        <w:top w:val="none" w:sz="0" w:space="0" w:color="auto"/>
        <w:left w:val="none" w:sz="0" w:space="0" w:color="auto"/>
        <w:bottom w:val="none" w:sz="0" w:space="0" w:color="auto"/>
        <w:right w:val="none" w:sz="0" w:space="0" w:color="auto"/>
      </w:divBdr>
    </w:div>
    <w:div w:id="1843157756">
      <w:bodyDiv w:val="1"/>
      <w:marLeft w:val="0"/>
      <w:marRight w:val="0"/>
      <w:marTop w:val="0"/>
      <w:marBottom w:val="0"/>
      <w:divBdr>
        <w:top w:val="none" w:sz="0" w:space="0" w:color="auto"/>
        <w:left w:val="none" w:sz="0" w:space="0" w:color="auto"/>
        <w:bottom w:val="none" w:sz="0" w:space="0" w:color="auto"/>
        <w:right w:val="none" w:sz="0" w:space="0" w:color="auto"/>
      </w:divBdr>
    </w:div>
    <w:div w:id="2073775742">
      <w:bodyDiv w:val="1"/>
      <w:marLeft w:val="0"/>
      <w:marRight w:val="0"/>
      <w:marTop w:val="0"/>
      <w:marBottom w:val="0"/>
      <w:divBdr>
        <w:top w:val="none" w:sz="0" w:space="0" w:color="auto"/>
        <w:left w:val="none" w:sz="0" w:space="0" w:color="auto"/>
        <w:bottom w:val="none" w:sz="0" w:space="0" w:color="auto"/>
        <w:right w:val="none" w:sz="0" w:space="0" w:color="auto"/>
      </w:divBdr>
    </w:div>
    <w:div w:id="20942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Ahmed</dc:creator>
  <cp:lastModifiedBy>Moorche</cp:lastModifiedBy>
  <cp:revision>2</cp:revision>
  <dcterms:created xsi:type="dcterms:W3CDTF">2023-09-30T18:44:00Z</dcterms:created>
  <dcterms:modified xsi:type="dcterms:W3CDTF">2023-09-30T18:44:00Z</dcterms:modified>
</cp:coreProperties>
</file>