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00345" w14:textId="77777777" w:rsidR="0097045B" w:rsidRDefault="00000000">
      <w:pPr>
        <w:pStyle w:val="Title"/>
      </w:pPr>
      <w:r>
        <w:t>Exploratory Data Analysis Report: Food Processing &amp; Nutrition Profiling</w:t>
      </w:r>
    </w:p>
    <w:p w14:paraId="59CA58C3" w14:textId="77777777" w:rsidR="0097045B" w:rsidRDefault="00000000">
      <w:r>
        <w:t>Internship Week 1 Deliverable | Dataset: 80 Cereals Nutritional Records</w:t>
      </w:r>
    </w:p>
    <w:p w14:paraId="42BC23DB" w14:textId="77777777" w:rsidR="0097045B" w:rsidRDefault="00000000">
      <w:pPr>
        <w:pStyle w:val="Heading1"/>
      </w:pPr>
      <w:r>
        <w:t>1. Executive Summary &amp; Problem Scope</w:t>
      </w:r>
    </w:p>
    <w:p w14:paraId="24E4B995" w14:textId="77777777" w:rsidR="0023339B" w:rsidRPr="0023339B" w:rsidRDefault="0023339B" w:rsidP="0023339B">
      <w:r w:rsidRPr="0023339B">
        <w:t>This report presents a detailed exploratory data analysis on the 80 Cereals dataset, which includes 77 breakfast cereals analyzed across 16 features. The objective was to clean the data, find specific relationships between ingredients, and understand the commercial strategies used by cereal brands. Missing values encoded as -1 in carbohydrates, sugars, and potassium were successfully replaced with column medians to preserve data integrity.</w:t>
      </w:r>
    </w:p>
    <w:p w14:paraId="75B05F71" w14:textId="77777777" w:rsidR="0023339B" w:rsidRPr="0023339B" w:rsidRDefault="0023339B" w:rsidP="0023339B">
      <w:r w:rsidRPr="0023339B">
        <w:t>In the bivariate analysis, we found concrete statistical evidence of what drives health ratings. There is a strong negative correlation (r = -0.76) between sugar content and customer ratings. Cereals with 10 to 15 grams of sugar dropped to an average rating of 20-30, while cereals with less than 4 grams of sugar scored above 60. On the positive side, fiber showed a strong correlation (r = +0.58) with higher ratings, proving it is a key healthy ingredient.</w:t>
      </w:r>
    </w:p>
    <w:p w14:paraId="0A4A7BD9" w14:textId="77777777" w:rsidR="0023339B" w:rsidRPr="0023339B" w:rsidRDefault="0023339B" w:rsidP="0023339B">
      <w:r w:rsidRPr="0023339B">
        <w:t xml:space="preserve">Our multivariate analysis revealed clear retail strategies. When comparing shelf placement to sugar levels, Shelf 2 (children's eye level) has a median sugar content of 12 grams. This is four times higher than Shelf 1 (3 grams) and double Shelf 3 (6 grams). Furthermore, comparing manufacturers showed that Nabisco leads with a median rating of 71.8 due to its 0g median sugar products, </w:t>
      </w:r>
    </w:p>
    <w:p w14:paraId="299860C1" w14:textId="77777777" w:rsidR="0097045B" w:rsidRDefault="00000000">
      <w:pPr>
        <w:pStyle w:val="Heading1"/>
      </w:pPr>
      <w:r>
        <w:t>2. Data Hygiene &amp; Preprocessing</w:t>
      </w:r>
    </w:p>
    <w:p w14:paraId="2C31BBF3" w14:textId="77777777" w:rsidR="006C707F" w:rsidRPr="006C707F" w:rsidRDefault="006C707F" w:rsidP="006C707F">
      <w:r w:rsidRPr="006C707F">
        <w:t>To ensure accurate analysis without losing valuable information, the following data cleaning steps were performed:</w:t>
      </w:r>
    </w:p>
    <w:p w14:paraId="0B041453" w14:textId="77777777" w:rsidR="006C707F" w:rsidRPr="006C707F" w:rsidRDefault="006C707F" w:rsidP="006C707F">
      <w:r w:rsidRPr="006C707F">
        <w:rPr>
          <w:b/>
          <w:bCs/>
        </w:rPr>
        <w:t>Handling Missing Data:</w:t>
      </w:r>
      <w:r w:rsidRPr="006C707F">
        <w:t xml:space="preserve"> The dataset used the number -1 to represent missing values in the carbo, sugars, and </w:t>
      </w:r>
      <w:proofErr w:type="spellStart"/>
      <w:r w:rsidRPr="006C707F">
        <w:t>potass</w:t>
      </w:r>
      <w:proofErr w:type="spellEnd"/>
      <w:r w:rsidRPr="006C707F">
        <w:t xml:space="preserve"> columns. Since the dataset is small (only 77 rows), deleting these rows would reduce our sample size significantly. Instead, we replaced all -1 entries with the </w:t>
      </w:r>
      <w:r w:rsidRPr="006C707F">
        <w:rPr>
          <w:b/>
          <w:bCs/>
        </w:rPr>
        <w:t>median</w:t>
      </w:r>
      <w:r w:rsidRPr="006C707F">
        <w:t xml:space="preserve"> value of their respective columns. This method safely fills the missing gaps without letting extreme outliers skew the data.</w:t>
      </w:r>
    </w:p>
    <w:p w14:paraId="368C6CB9" w14:textId="77777777" w:rsidR="006C707F" w:rsidRPr="006C707F" w:rsidRDefault="006C707F" w:rsidP="006C707F">
      <w:r w:rsidRPr="006C707F">
        <w:rPr>
          <w:b/>
          <w:bCs/>
        </w:rPr>
        <w:t>Standardizing Categories:</w:t>
      </w:r>
      <w:r w:rsidRPr="006C707F">
        <w:t xml:space="preserve"> The manufacturer (</w:t>
      </w:r>
      <w:proofErr w:type="spellStart"/>
      <w:r w:rsidRPr="006C707F">
        <w:t>mfr</w:t>
      </w:r>
      <w:proofErr w:type="spellEnd"/>
      <w:r w:rsidRPr="006C707F">
        <w:t>) column originally used single-letter codes. To make the final charts and analysis easy to read, we mapped these letters to their full company names (for example, converting 'K' to "Kellogg's" and 'G' to "General Mills").</w:t>
      </w:r>
    </w:p>
    <w:p w14:paraId="73FFB4BB" w14:textId="77777777" w:rsidR="0097045B" w:rsidRDefault="00000000">
      <w:pPr>
        <w:pStyle w:val="Heading1"/>
      </w:pPr>
      <w:r>
        <w:lastRenderedPageBreak/>
        <w:t>3. Univariate Analysis</w:t>
      </w:r>
    </w:p>
    <w:p w14:paraId="33C570A8" w14:textId="77777777" w:rsidR="0097045B" w:rsidRDefault="00000000">
      <w:r>
        <w:rPr>
          <w:noProof/>
        </w:rPr>
        <w:drawing>
          <wp:inline distT="0" distB="0" distL="0" distR="0" wp14:anchorId="0FA23E70" wp14:editId="5E420C80">
            <wp:extent cx="5669280" cy="30236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univariate.png"/>
                    <pic:cNvPicPr/>
                  </pic:nvPicPr>
                  <pic:blipFill>
                    <a:blip r:embed="rId6"/>
                    <a:stretch>
                      <a:fillRect/>
                    </a:stretch>
                  </pic:blipFill>
                  <pic:spPr>
                    <a:xfrm>
                      <a:off x="0" y="0"/>
                      <a:ext cx="5669280" cy="3023616"/>
                    </a:xfrm>
                    <a:prstGeom prst="rect">
                      <a:avLst/>
                    </a:prstGeom>
                  </pic:spPr>
                </pic:pic>
              </a:graphicData>
            </a:graphic>
          </wp:inline>
        </w:drawing>
      </w:r>
    </w:p>
    <w:p w14:paraId="387FA749" w14:textId="77777777" w:rsidR="0097045B" w:rsidRDefault="00000000">
      <w:pPr>
        <w:pStyle w:val="Heading1"/>
      </w:pPr>
      <w:r>
        <w:t>4. Bivariate &amp; Multivariate Analysis</w:t>
      </w:r>
    </w:p>
    <w:p w14:paraId="14417596" w14:textId="77777777" w:rsidR="0097045B" w:rsidRDefault="00000000">
      <w:r>
        <w:rPr>
          <w:noProof/>
        </w:rPr>
        <w:drawing>
          <wp:inline distT="0" distB="0" distL="0" distR="0" wp14:anchorId="26E68516" wp14:editId="748C56C2">
            <wp:extent cx="5669280" cy="2125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ivariate.png"/>
                    <pic:cNvPicPr/>
                  </pic:nvPicPr>
                  <pic:blipFill>
                    <a:blip r:embed="rId7"/>
                    <a:stretch>
                      <a:fillRect/>
                    </a:stretch>
                  </pic:blipFill>
                  <pic:spPr>
                    <a:xfrm>
                      <a:off x="0" y="0"/>
                      <a:ext cx="5669280" cy="2125980"/>
                    </a:xfrm>
                    <a:prstGeom prst="rect">
                      <a:avLst/>
                    </a:prstGeom>
                  </pic:spPr>
                </pic:pic>
              </a:graphicData>
            </a:graphic>
          </wp:inline>
        </w:drawing>
      </w:r>
    </w:p>
    <w:p w14:paraId="2E48BBB5" w14:textId="77777777" w:rsidR="0097045B" w:rsidRDefault="00000000">
      <w:r>
        <w:rPr>
          <w:noProof/>
        </w:rPr>
        <w:drawing>
          <wp:inline distT="0" distB="0" distL="0" distR="0" wp14:anchorId="46E95267" wp14:editId="14B26987">
            <wp:extent cx="5669280" cy="1889760"/>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ultivariate.png"/>
                    <pic:cNvPicPr/>
                  </pic:nvPicPr>
                  <pic:blipFill>
                    <a:blip r:embed="rId8"/>
                    <a:stretch>
                      <a:fillRect/>
                    </a:stretch>
                  </pic:blipFill>
                  <pic:spPr>
                    <a:xfrm>
                      <a:off x="0" y="0"/>
                      <a:ext cx="5669280" cy="1889760"/>
                    </a:xfrm>
                    <a:prstGeom prst="rect">
                      <a:avLst/>
                    </a:prstGeom>
                  </pic:spPr>
                </pic:pic>
              </a:graphicData>
            </a:graphic>
          </wp:inline>
        </w:drawing>
      </w:r>
    </w:p>
    <w:p w14:paraId="3755DBC8" w14:textId="77777777" w:rsidR="0097045B" w:rsidRDefault="00000000">
      <w:pPr>
        <w:pStyle w:val="Heading1"/>
      </w:pPr>
      <w:r>
        <w:lastRenderedPageBreak/>
        <w:t>5. Key Insights &amp; Conclusion</w:t>
      </w:r>
    </w:p>
    <w:p w14:paraId="16D0AB31" w14:textId="77777777" w:rsidR="00DD72DC" w:rsidRPr="00DD72DC" w:rsidRDefault="00DD72DC" w:rsidP="00DD72DC">
      <w:r w:rsidRPr="00DD72DC">
        <w:rPr>
          <w:b/>
          <w:bCs/>
        </w:rPr>
        <w:t>Bivariate Analysis: Nutritional Correlations</w:t>
      </w:r>
      <w:r w:rsidRPr="00DD72DC">
        <w:t xml:space="preserve"> To understand the relationships between different nutritional components, we analyzed the correlation matrix and scatter plots.</w:t>
      </w:r>
    </w:p>
    <w:p w14:paraId="5E442A80" w14:textId="1E33BCE4" w:rsidR="00DD72DC" w:rsidRPr="00DD72DC" w:rsidRDefault="00DD72DC" w:rsidP="00DD72DC">
      <w:pPr>
        <w:numPr>
          <w:ilvl w:val="0"/>
          <w:numId w:val="10"/>
        </w:numPr>
      </w:pPr>
      <w:r w:rsidRPr="00DD72DC">
        <w:rPr>
          <w:b/>
          <w:bCs/>
        </w:rPr>
        <w:t>Sugar vs. Consumer Rating:</w:t>
      </w:r>
      <w:r w:rsidRPr="00DD72DC">
        <w:t xml:space="preserve"> There is a strong, definitive negative correlation </w:t>
      </w:r>
      <w:r>
        <w:t xml:space="preserve">                                                           </w:t>
      </w:r>
      <w:proofErr w:type="gramStart"/>
      <w:r>
        <w:t xml:space="preserve">   </w:t>
      </w:r>
      <w:r w:rsidRPr="00DD72DC">
        <w:t>(</w:t>
      </w:r>
      <w:proofErr w:type="gramEnd"/>
      <w:r w:rsidRPr="00DD72DC">
        <w:t>r = -0.76) between sugar content and nutritional rating. Cereals with low sugar</w:t>
      </w:r>
      <w:r>
        <w:t xml:space="preserve">                                               </w:t>
      </w:r>
      <w:proofErr w:type="gramStart"/>
      <w:r>
        <w:t xml:space="preserve">  </w:t>
      </w:r>
      <w:r w:rsidRPr="00DD72DC">
        <w:t xml:space="preserve"> (</w:t>
      </w:r>
      <w:proofErr w:type="gramEnd"/>
      <w:r w:rsidRPr="00DD72DC">
        <w:t xml:space="preserve">0 to 4 grams) achieve average ratings above 60. In stark contrast, heavily sweetened cereals (10 to 15 grams of sugar) see their ratings plummet to the </w:t>
      </w:r>
      <w:r>
        <w:t xml:space="preserve">                                                     </w:t>
      </w:r>
      <w:r w:rsidRPr="00DD72DC">
        <w:t>20–30 range.</w:t>
      </w:r>
    </w:p>
    <w:p w14:paraId="781F5713" w14:textId="77777777" w:rsidR="00DD72DC" w:rsidRPr="00DD72DC" w:rsidRDefault="00DD72DC" w:rsidP="00DD72DC">
      <w:pPr>
        <w:numPr>
          <w:ilvl w:val="0"/>
          <w:numId w:val="10"/>
        </w:numPr>
      </w:pPr>
      <w:r w:rsidRPr="00DD72DC">
        <w:rPr>
          <w:b/>
          <w:bCs/>
        </w:rPr>
        <w:t>Fiber vs. Consumer Rating:</w:t>
      </w:r>
      <w:r w:rsidRPr="00DD72DC">
        <w:t xml:space="preserve"> Dietary fiber shows the strongest positive correlation (r = +0.58) with nutritional scores. For example, "All-Bran with Extra Fiber" contains 14g of fiber and holds the highest rating in the dataset at 93.7, proving that fiber is a primary driver of a high consumer score.</w:t>
      </w:r>
    </w:p>
    <w:p w14:paraId="655C674A" w14:textId="77777777" w:rsidR="00DD72DC" w:rsidRPr="00DD72DC" w:rsidRDefault="00DD72DC" w:rsidP="00DD72DC">
      <w:pPr>
        <w:numPr>
          <w:ilvl w:val="0"/>
          <w:numId w:val="10"/>
        </w:numPr>
      </w:pPr>
      <w:r w:rsidRPr="00DD72DC">
        <w:rPr>
          <w:b/>
          <w:bCs/>
        </w:rPr>
        <w:t>Calories vs. Rating:</w:t>
      </w:r>
      <w:r w:rsidRPr="00DD72DC">
        <w:t xml:space="preserve"> There is a significant negative correlation (r = -0.69) between total calories and rating, indicating that higher-calorie cereals are generally penalized in health scoring, largely because those extra calories come from sugars rather than complex carbohydrates or protein.</w:t>
      </w:r>
    </w:p>
    <w:p w14:paraId="24F37799" w14:textId="77777777" w:rsidR="00DD72DC" w:rsidRPr="00DD72DC" w:rsidRDefault="00DD72DC" w:rsidP="00DD72DC">
      <w:r w:rsidRPr="00DD72DC">
        <w:rPr>
          <w:b/>
          <w:bCs/>
        </w:rPr>
        <w:t>Multivariate Analysis: Commercial and Brand Strategies</w:t>
      </w:r>
      <w:r w:rsidRPr="00DD72DC">
        <w:t xml:space="preserve"> By analyzing three or more variables at once (Shelf Level, Sugar, Rating, and Manufacturer), distinct commercial strategies emerge:</w:t>
      </w:r>
    </w:p>
    <w:p w14:paraId="2B3FE9C5" w14:textId="77777777" w:rsidR="00DD72DC" w:rsidRPr="00DD72DC" w:rsidRDefault="00DD72DC" w:rsidP="00DD72DC">
      <w:pPr>
        <w:numPr>
          <w:ilvl w:val="0"/>
          <w:numId w:val="11"/>
        </w:numPr>
      </w:pPr>
      <w:r w:rsidRPr="00DD72DC">
        <w:rPr>
          <w:b/>
          <w:bCs/>
        </w:rPr>
        <w:t>Merchandising by Shelf Level (Targeting Kids):</w:t>
      </w:r>
      <w:r w:rsidRPr="00DD72DC">
        <w:t xml:space="preserve"> An analysis of sugar content across supermarket shelf tiers reveals aggressive product placement. Shelf 2 (the middle shelf, directly at a child's eye level) has a staggering median sugar content of 12.0 grams per serving. This is 400% higher than Shelf 1 (bottom shelf, median 3.0g) and double that of Shelf 3 (top shelf, median 6.0g).</w:t>
      </w:r>
    </w:p>
    <w:p w14:paraId="4DF80574" w14:textId="77777777" w:rsidR="00DD72DC" w:rsidRPr="00DD72DC" w:rsidRDefault="00DD72DC" w:rsidP="00DD72DC">
      <w:pPr>
        <w:numPr>
          <w:ilvl w:val="0"/>
          <w:numId w:val="11"/>
        </w:numPr>
      </w:pPr>
      <w:r w:rsidRPr="00DD72DC">
        <w:rPr>
          <w:b/>
          <w:bCs/>
        </w:rPr>
        <w:t>Manufacturer Nutritional Profiling:</w:t>
      </w:r>
      <w:r w:rsidRPr="00DD72DC">
        <w:t xml:space="preserve"> Grouping consumer ratings by manufacturer uncovers distinct brand formulations. Nabisco dominates the nutritional quality metric with a median rating of 71.8 and a median sugar content of 0g (heavily reliant on plain shredded wheat). Conversely, General Mills and Kellogg's, which together produce over 60% of the market's options, have much lower median ratings of 36.2 and 40.5, respectively, driven by their higher average sugar formulations (median 8.5g and 7.0g).</w:t>
      </w:r>
    </w:p>
    <w:p w14:paraId="29DFF40C" w14:textId="3AB397BB" w:rsidR="0097045B" w:rsidRDefault="0097045B" w:rsidP="00DD72DC"/>
    <w:sectPr w:rsidR="009704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FE3ADF"/>
    <w:multiLevelType w:val="multilevel"/>
    <w:tmpl w:val="57EA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AB6826"/>
    <w:multiLevelType w:val="multilevel"/>
    <w:tmpl w:val="956A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12401B"/>
    <w:multiLevelType w:val="multilevel"/>
    <w:tmpl w:val="F7B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471922">
    <w:abstractNumId w:val="8"/>
  </w:num>
  <w:num w:numId="2" w16cid:durableId="931006914">
    <w:abstractNumId w:val="6"/>
  </w:num>
  <w:num w:numId="3" w16cid:durableId="2115707180">
    <w:abstractNumId w:val="5"/>
  </w:num>
  <w:num w:numId="4" w16cid:durableId="880628278">
    <w:abstractNumId w:val="4"/>
  </w:num>
  <w:num w:numId="5" w16cid:durableId="1288968505">
    <w:abstractNumId w:val="7"/>
  </w:num>
  <w:num w:numId="6" w16cid:durableId="1704792826">
    <w:abstractNumId w:val="3"/>
  </w:num>
  <w:num w:numId="7" w16cid:durableId="208346943">
    <w:abstractNumId w:val="2"/>
  </w:num>
  <w:num w:numId="8" w16cid:durableId="1778672316">
    <w:abstractNumId w:val="1"/>
  </w:num>
  <w:num w:numId="9" w16cid:durableId="1487697889">
    <w:abstractNumId w:val="0"/>
  </w:num>
  <w:num w:numId="10" w16cid:durableId="1175413165">
    <w:abstractNumId w:val="10"/>
  </w:num>
  <w:num w:numId="11" w16cid:durableId="1698971802">
    <w:abstractNumId w:val="11"/>
  </w:num>
  <w:num w:numId="12" w16cid:durableId="8706553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339B"/>
    <w:rsid w:val="0029639D"/>
    <w:rsid w:val="00326F90"/>
    <w:rsid w:val="006C707F"/>
    <w:rsid w:val="0097045B"/>
    <w:rsid w:val="00A20D4B"/>
    <w:rsid w:val="00AA1D8D"/>
    <w:rsid w:val="00B47730"/>
    <w:rsid w:val="00C141D3"/>
    <w:rsid w:val="00CB0664"/>
    <w:rsid w:val="00DD7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CC8C1F"/>
  <w14:defaultImageDpi w14:val="300"/>
  <w15:docId w15:val="{D86CEDCD-EB04-4825-90D6-2823F790E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3</Pages>
  <Words>705</Words>
  <Characters>4021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Murtaza Rassiwala</cp:lastModifiedBy>
  <cp:revision>3</cp:revision>
  <dcterms:created xsi:type="dcterms:W3CDTF">2013-12-23T23:15:00Z</dcterms:created>
  <dcterms:modified xsi:type="dcterms:W3CDTF">2026-10-13T08:59:00Z</dcterms:modified>
  <cp:category/>
</cp:coreProperties>
</file>