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ind w:firstLine="0"/>
        <w:jc w:val="center"/>
      </w:pPr>
      <w:r>
        <w:rPr>
          <w:b/>
          <w:sz w:val="28"/>
        </w:rPr>
        <w:t>UNIVERSITY OF VERONA</w:t>
        <w:br/>
        <w:t>DEPARTMENT OF ECONOMICS</w:t>
        <w:br/>
        <w:t>Master's Degree in Economics and Data Analysis</w:t>
        <w:br/>
        <w:br/>
      </w:r>
      <w:r>
        <w:rPr>
          <w:b/>
          <w:color w:val="0A2240"/>
          <w:sz w:val="36"/>
        </w:rPr>
        <w:t>DO MACHINE LEARNING MODELS IMPROVE STOCK RETURN PREDICTION?</w:t>
        <w:br/>
      </w:r>
      <w:r>
        <w:rPr>
          <w:b/>
          <w:color w:val="465A6E"/>
          <w:sz w:val="28"/>
        </w:rPr>
        <w:t>Evidence from S&amp;P 500 Constituent Markets and Dimension Sensitivity (2015–2024)</w:t>
        <w:br/>
        <w:br/>
      </w:r>
    </w:p>
    <w:p>
      <w:pPr>
        <w:ind w:firstLine="0"/>
      </w:pPr>
      <w:r>
        <w:t>Candidate: Murtuza Yusuf Rangwala (Matricola: VR508566)</w:t>
        <w:br/>
        <w:t>Supervisor: Prof. Giuseppina Chesini</w:t>
        <w:br/>
        <w:t>Academic Year: 2024/2025</w:t>
      </w:r>
    </w:p>
    <w:p>
      <w:r>
        <w:br w:type="page"/>
      </w:r>
    </w:p>
    <w:p>
      <w:pPr>
        <w:spacing w:before="240" w:after="120"/>
        <w:ind w:firstLine="0"/>
      </w:pPr>
      <w:r>
        <w:rPr>
          <w:rFonts w:ascii="Times New Roman" w:hAnsi="Times New Roman"/>
          <w:b/>
          <w:color w:val="0A2240"/>
          <w:sz w:val="28"/>
        </w:rPr>
        <w:t>Abstract</w:t>
      </w:r>
    </w:p>
    <w:p>
      <w:r>
        <w:t>[top=1.25in, bottom=1.25in, left=1.25in, right=1.25in]geometry</w:t>
      </w:r>
    </w:p>
    <w:p>
      <w:r>
        <w:t>setspace</w:t>
      </w:r>
    </w:p>
    <w:p>
      <w:r>
        <w:t>1.5</w:t>
      </w:r>
    </w:p>
    <w:p>
      <w:r>
        <w:t>6pt</w:t>
      </w:r>
    </w:p>
    <w:p>
      <w:r>
        <w:t>1.27cm</w:t>
      </w:r>
    </w:p>
    <w:p>
      <w:r>
        <w:t>=28pt</w:t>
      </w:r>
    </w:p>
    <w:p>
      <w:r>
        <w:t>=2em</w:t>
      </w:r>
    </w:p>
    <w:p>
      <w:r>
        <w:t>[utf8]inputenc</w:t>
      </w:r>
    </w:p>
    <w:p>
      <w:r>
        <w:t>[T1]fontenc</w:t>
      </w:r>
    </w:p>
    <w:p>
      <w:r>
        <w:t>times</w:t>
      </w:r>
    </w:p>
    <w:p>
      <w:r>
        <w:t>microtype</w:t>
      </w:r>
    </w:p>
    <w:p>
      <w:r>
        <w:t>titlesec</w:t>
      </w:r>
    </w:p>
    <w:p>
      <w:r>
        <w:t>[block]1418jpmNavy.0.8em</w:t>
      </w:r>
    </w:p>
    <w:p>
      <w:r>
        <w:t>*0pt12pt6pt</w:t>
      </w:r>
    </w:p>
    <w:p>
      <w:r>
        <w:t>[block]1418jpmNavy0.8em</w:t>
      </w:r>
    </w:p>
    <w:p>
      <w:r>
        <w:t>*0pt10pt4pt</w:t>
      </w:r>
    </w:p>
    <w:p>
      <w:r>
        <w:t>[block]12160.8em</w:t>
      </w:r>
    </w:p>
    <w:p>
      <w:r>
        <w:t>*0pt8pt4pt</w:t>
      </w:r>
    </w:p>
    <w:p>
      <w:r>
        <w:t>amsmath, amssymb, amsthm</w:t>
      </w:r>
    </w:p>
    <w:p>
      <w:r>
        <w:t>booktabs</w:t>
      </w:r>
    </w:p>
    <w:p>
      <w:r>
        <w:t>multirow</w:t>
      </w:r>
    </w:p>
    <w:p>
      <w:r>
        <w:t>array</w:t>
      </w:r>
    </w:p>
    <w:p>
      <w:r>
        <w:t>float</w:t>
      </w:r>
    </w:p>
    <w:p>
      <w:r>
        <w:t>graphicx</w:t>
      </w:r>
    </w:p>
    <w:p>
      <w:r>
        <w:t>xcolor</w:t>
      </w:r>
    </w:p>
    <w:p>
      <w:r>
        <w:t>jpmNavyHTML0A2240</w:t>
      </w:r>
    </w:p>
    <w:p>
      <w:r>
        <w:t>jpmGoldHTMLD4AF37</w:t>
      </w:r>
    </w:p>
    <w:p>
      <w:r>
        <w:t>jpmDarkHTML23282D</w:t>
      </w:r>
    </w:p>
    <w:p>
      <w:r>
        <w:t>jpmLightHTMLF4F6F9</w:t>
      </w:r>
    </w:p>
    <w:p>
      <w:r>
        <w:t>jpmRedHTML8B0000</w:t>
      </w:r>
    </w:p>
    <w:p>
      <w:r>
        <w:t>jpmGreenHTML006400</w:t>
      </w:r>
    </w:p>
    <w:p>
      <w:r>
        <w:t>tikz</w:t>
      </w:r>
    </w:p>
    <w:p>
      <w:r>
        <w:t>shapes.geometric, arrows.meta, positioning, calc, fit</w:t>
      </w:r>
    </w:p>
    <w:p>
      <w:r>
        <w:t>hyperref</w:t>
      </w:r>
    </w:p>
    <w:p>
      <w:r>
        <w:t>colorlinks=true,</w:t>
      </w:r>
    </w:p>
    <w:p>
      <w:r>
        <w:t>linkcolor=jpmNavy,</w:t>
      </w:r>
    </w:p>
    <w:p>
      <w:r>
        <w:t>citecolor=jpmNavy,</w:t>
      </w:r>
    </w:p>
    <w:p>
      <w:r>
        <w:t>urlcolor=jpmNavy</w:t>
      </w:r>
    </w:p>
    <w:p>
      <w:r>
        <w:t>[round, authoryear]natbib</w:t>
      </w:r>
    </w:p>
    <w:p>
      <w:r>
        <w:t>plainnat</w:t>
      </w:r>
    </w:p>
    <w:p>
      <w:r>
        <w:t>*0.5cm</w:t>
      </w:r>
    </w:p>
    <w:p>
      <w:r>
        <w:t>1418 OF VERONA\\[0.2cm]</w:t>
      </w:r>
    </w:p>
    <w:p>
      <w:r>
        <w:t>1216 DEPARTMENT OF ECONOMICS\\[0.1cm]</w:t>
      </w:r>
    </w:p>
    <w:p>
      <w:r>
        <w:t>1114 Master's Degree in Economics and Data Analysis\\[1.5cm]</w:t>
      </w:r>
    </w:p>
    <w:p>
      <w:r>
        <w:t>1.5pt\\[0.4cm]</w:t>
      </w:r>
    </w:p>
    <w:p>
      <w:r>
        <w:t>1822jpmNavy DO MACHINE LEARNING MODELS IMPROVE STOCK RETURN PREDICTION?\\[0.3cm]</w:t>
      </w:r>
    </w:p>
    <w:p>
      <w:r>
        <w:t>1316jpmDark Evidence from S\&amp;P 500 Constituent Markets and Dimension Sensitivity (2015--2024)\\[0.3cm]</w:t>
      </w:r>
    </w:p>
    <w:p>
      <w:r>
        <w:t>1.5pt\\[2.0cm]</w:t>
      </w:r>
    </w:p>
    <w:p>
      <w:r>
        <w:t>:\\[0.1cm]</w:t>
      </w:r>
    </w:p>
    <w:p>
      <w:r>
        <w:t>Prof.\ Giuseppina Chesini</w:t>
      </w:r>
    </w:p>
    <w:p>
      <w:r>
        <w:t>:\\[0.1cm]</w:t>
      </w:r>
    </w:p>
    <w:p>
      <w:r>
        <w:t>Murtuza Yusuf Rangwala\\[0.1cm]</w:t>
      </w:r>
    </w:p>
    <w:p>
      <w:r>
        <w:t>Matricola: VR508566</w:t>
      </w:r>
    </w:p>
    <w:p>
      <w:r>
        <w:t>Academic Year 2024/2025</w:t>
      </w:r>
    </w:p>
    <w:p>
      <w:r>
        <w:t>roman</w:t>
      </w:r>
    </w:p>
    <w:p>
      <w:r>
        <w:t>page1</w:t>
      </w:r>
    </w:p>
    <w:p>
      <w:r>
        <w:t>tocchapterAbstract</w:t>
      </w:r>
    </w:p>
    <w:p>
      <w:r>
        <w:t>Does applying modern machine learning and deep sequence models to stock market data yield genuine predictive advantage over traditional linear asset pricing benchmarks? To answer this question, I evaluate a broad range of quantitative models using a 10-year point-in-time panel of S\&amp;P 500 constituent equities from 2015 through 2024 (comprising 2,516 daily cross-sections). The predictive feature set includes 59 variables spanning technical signals, quarterly accounting ratios, macroeconomic state variables, market sentiment indicators, and rolling factor risk exposures.</w:t>
      </w:r>
    </w:p>
    <w:p>
      <w:r>
        <w:t>To ensure realistic empirical evaluation without lookahead contamination, I implement a 5-fold expanding-window walk-forward validation framework across the 2020--2024 out-of-sample period. Empirical results demonstrate that deep sequence models outperform classical linear estimators (Fama-MacBeth OLS, regularized LASSO) as well as static decision tree ensembles (Random Forest, XGBoost). Among all tested architectures, the custom Temporal Fusion Deep Multimodal Gated Attention (TFDMGA) model achieves the strongest predictive performance, recording an out-of-sample daily Information Coefficient (IC) of +0.0348, an Information Ratio (ICIR) of 3.12, a ROC AUC of 0.6120, and a directional accuracy of 56.84\%. A formal Diebold-Mariano test confirms that these gains over baseline PyTorch LSTM models are statistically significant (DM = 2.41, p = 0.016).</w:t>
      </w:r>
    </w:p>
    <w:p>
      <w:r>
        <w:t>When evaluated in simulated daily trading portfolios accounting for 10 bps round-trip transaction costs and 1-day execution delays, an initial \1,000 USD deposit starting in January 2020 grows to \3,120.99 USD under a baseline LSTM long strategy. Introducing a 2:1 Take-Profit/Stop-Loss risk overlay enhances capital accumulation to \4,368.50 USD for LSTM and \6,482.10 USD for TFDMGA. However, Fama-French 5-factor spanning regressions reveal an estimated net strategy alpha of  = -0.18\% per year (p = 0.976, R^2 = 41.2\%). Because net alpha is statistically zero, the returns produced by these deep learning models represent dynamic compensation for systematic factor risk exposures rather than unpriced market inefficiency.</w:t>
      </w:r>
    </w:p>
    <w:p>
      <w:r>
        <w:t>1cm</w:t>
      </w:r>
    </w:p>
    <w:p>
      <w:r>
        <w:t>Keywords: Machine Learning, Empirical Asset Pricing, Cross-Sectional Return Prediction, Deep Learning, Transformer Attention, Fama-French Spanning, Transaction Costs, Walk-Forward Optimization.</w:t>
      </w:r>
    </w:p>
    <w:p>
      <w:r>
        <w:t>empty</w:t>
      </w:r>
    </w:p>
    <w:p>
      <w:r>
        <w:t>*4.0cm</w:t>
      </w:r>
    </w:p>
    <w:p>
      <w:r>
        <w:t>[width=0.75]figures/arabic_text_font.pdf</w:t>
      </w:r>
    </w:p>
    <w:p>
      <w:r>
        <w:t>0.6cm</w:t>
      </w:r>
    </w:p>
    <w:p>
      <w:r>
        <w:t>``And say, `My Lord, increase me in knowledge.'\,''\\[1.0cm]</w:t>
      </w:r>
    </w:p>
    <w:p>
      <w:r>
        <w:t>--- The Holy Qur'an, Surah Ta-Ha (20:114)</w:t>
      </w:r>
    </w:p>
    <w:p>
      <w:r>
        <w:t>tocchapterAcknowledgements</w:t>
      </w:r>
    </w:p>
    <w:p>
      <w:r>
        <w:t>4pt</w:t>
      </w:r>
    </w:p>
    <w:p>
      <w:r>
        <w:t>I wish to express my deepest appreciation to my supervisor, Prof.\ Giuseppina Chesini, whose thoughtful mentorship, advice, and academic support guided me throughout the preparation of this Master's thesis. Her insights helped shape the research direction and refine the empirical methodology presented in these pages.</w:t>
      </w:r>
    </w:p>
    <w:p>
      <w:r>
        <w:t>My sincere thanks extend to the professors and academic staff of the Department of Economics and Data Analysis at the University of Verona. The knowledge, rigorous training, and encouragement I received during my Master's studies played a vital role in my academic development.</w:t>
      </w:r>
    </w:p>
    <w:p>
      <w:r>
        <w:t>Studying at the University of Verona has been a transformative experience. Moving from Mumbai, India, to Italy opened doors to a vibrant international community and enriched my perspective both academically and personally. I am immensely grateful to the university for providing this platform.</w:t>
      </w:r>
    </w:p>
    <w:p>
      <w:r>
        <w:t>I am equally indebted to ESU Verona and the Borsa di Studio scholarship programme. Their financial assistance granted me the security needed to concentrate fully on my studies and complete my degree without financial burden.</w:t>
      </w:r>
    </w:p>
    <w:p>
      <w:r>
        <w:t>To my classmates and close friends in Italy, thank you for making Verona feel like a second home. The shared study sessions, discussions, and personal support through every challenge created memories that I will treasure for years to come.</w:t>
      </w:r>
    </w:p>
    <w:p>
      <w:r>
        <w:t>I also recognize the broader open-source research community, whose computational tools, software libraries, and open frameworks enabled the empirical implementation of this work.</w:t>
      </w:r>
    </w:p>
    <w:p>
      <w:r>
        <w:t>Above all, I dedicate this work to my family. I am profoundly thankful to my father, whose belief in my potential inspired me to pursue higher education abroad. His sacrifices, advice, and unconditional support gave me confidence during difficult moments. My heartfelt thanks also go to my mother, my sister, and my extended family for their love, patience, and constant encouragement throughout this entire journey.</w:t>
      </w:r>
    </w:p>
    <w:p>
      <w:r>
        <w:t>0.6cm</w:t>
      </w:r>
    </w:p>
    <w:p>
      <w:r>
        <w:t>Murtuza Rangwala\\</w:t>
      </w:r>
    </w:p>
    <w:p>
      <w:r>
        <w:t>Master of Economics and Data Analysis\\</w:t>
      </w:r>
    </w:p>
    <w:p>
      <w:r>
        <w:t>University of Verona</w:t>
      </w:r>
    </w:p>
    <w:p>
      <w:r>
        <w:t>arabic</w:t>
      </w:r>
    </w:p>
    <w:p>
      <w:r>
        <w:t>chapters/introduction</w:t>
      </w:r>
    </w:p>
    <w:p>
      <w:r>
        <w:t>chapters/literature_review</w:t>
      </w:r>
    </w:p>
    <w:p>
      <w:r>
        <w:t>chapters/data_and_methodology</w:t>
      </w:r>
    </w:p>
    <w:p>
      <w:r>
        <w:t>chapters/empirical_results</w:t>
      </w:r>
    </w:p>
    <w:p>
      <w:r>
        <w:t>chapters/conclusion</w:t>
      </w:r>
    </w:p>
    <w:p>
      <w:r>
        <w:t>tocchapterBibliography</w:t>
      </w:r>
    </w:p>
    <w:p>
      <w:r>
        <w:t>references</w:t>
      </w:r>
    </w:p>
    <w:p>
      <w:r>
        <w:br w:type="page"/>
      </w:r>
    </w:p>
    <w:p>
      <w:pPr>
        <w:spacing w:before="240" w:after="120"/>
        <w:ind w:firstLine="0"/>
      </w:pPr>
      <w:r>
        <w:rPr>
          <w:rFonts w:ascii="Times New Roman" w:hAnsi="Times New Roman"/>
          <w:b/>
          <w:color w:val="0A2240"/>
          <w:sz w:val="28"/>
        </w:rPr>
        <w:t>Introduction</w:t>
      </w:r>
    </w:p>
    <w:p>
      <w:pPr>
        <w:spacing w:before="200" w:after="80"/>
        <w:ind w:firstLine="0"/>
      </w:pPr>
      <w:r>
        <w:rPr>
          <w:rFonts w:ascii="Times New Roman" w:hAnsi="Times New Roman"/>
          <w:b/>
          <w:color w:val="0A2240"/>
          <w:sz w:val="28"/>
        </w:rPr>
        <w:t>Background and Economic Motivation</w:t>
      </w:r>
    </w:p>
    <w:p>
      <w:r>
        <w:t>Why do financial asset returns vary across stocks, and how effectively do market prices incorporate available information? Answering this fundamental question lies at the heart of empirical asset pricing (fama1970efficient, fama1993common). For decades, academic researchers modeled expected equity returns through linear factor frameworks, evolving from Markowitz's (markowitz1952portfolio) mean-variance framework to the Capital Asset Pricing Model (CAPM) of (sharpe1964capital) and (lintner1965valuation), Ross's (ross1976arbitrage) Arbitrage Pricing Theory, Carhart's (carhart1997on) four-factor momentum specification, P\'astor and Stambaugh's (pastor2003liquidity) liquidity model, Hou, Xue, and Zhang's (hou2015digesting) q-factor framework, and Fama and French's (fama2015five) five-factor model. These classic models share a core assumption: stock returns are governed linearly by a small set of static risk exposures.</w:t>
      </w:r>
    </w:p>
    <w:p>
      <w:r>
        <w:t>Real-world financial markets, however, display non-linearities, heavy-tailed return distributions, and dynamic regime shifts. Firm-level characteristics interact in non-linear ways—for instance, valuation metrics behave differently in market drawdowns compared to economic expansions (gu2020empirical, kozak2020shrinking). Standard Ordinary Least Squares (OLS) regressions face structural hurdles in high-dimensional panels, risking omitted variable bias when specifications are too simple, or variance inflation when dozens of firm characteristics are included simultaneously.</w:t>
      </w:r>
    </w:p>
    <w:p>
      <w:r>
        <w:t>Machine learning (ML) and deep sequence architectures provide a flexible framework for modeling non-linear characteristic interactions and temporal patterns in equity markets (gu2020empirical, gu2021autoencoder, chen2023deep, kozak2020shrinking, freyberger2020dissecting, kelly2019characteristics). Techniques ranging from regularized linear models (tibshirani1996regression, zou2005regularization) and decision tree ensembles (breiman2001random, friedman2001greedy, chen2016xgboost) to temporal convolutional networks (bai2018empirical) and multi-modal Transformer architectures (vaswani2017attention, lim2021temporal) allow researchers to extract predictive signals directly from raw panel data.</w:t>
      </w:r>
    </w:p>
    <w:p>
      <w:r>
        <w:t>Yet applying machine learning to financial asset pricing differs from standard computer vision or language modeling. Financial return series are characterized by low signal-to-noise ratios, regime shifts, and structural breaks (lopez2018advances, lopez2020machine). Naive applications risk lookahead bias, survivorship bias, multiple testing inflation (harvey2016and, harvey2020false, hou2020replicating), and unmodeled transaction cost drag (novy2016taxonomy, mclean2016does, avramov2023machine). Without out-of-sample walk-forward validation and trading friction modeling, apparent predictive gains can quickly disappear in live trading.</w:t>
      </w:r>
    </w:p>
    <w:p>
      <w:r>
        <w:t>In this thesis, I evaluate machine learning models for cross-sectional return prediction across S\&amp;P 500 equities over the 2015--2024 period, addressing these methodological challenges directly.</w:t>
      </w:r>
    </w:p>
    <w:p>
      <w:pPr>
        <w:spacing w:before="200" w:after="80"/>
        <w:ind w:firstLine="0"/>
      </w:pPr>
      <w:r>
        <w:rPr>
          <w:rFonts w:ascii="Times New Roman" w:hAnsi="Times New Roman"/>
          <w:b/>
          <w:color w:val="0A2240"/>
          <w:sz w:val="28"/>
        </w:rPr>
        <w:t>Research Questions and Core Hypotheses</w:t>
      </w:r>
    </w:p>
    <w:p>
      <w:r>
        <w:t>To evaluate the statistical predictability and economic viability of machine learning models, I frame my investigation around four central research questions:</w:t>
      </w:r>
    </w:p>
    <w:p>
      <w:r>
        <w:t>[Research Question 1 (Statistical Predictability):] Do non-linear machine learning models (Random Forest, XGBoost, LSTM, TFDMGA) achieve statistically significant out-of-sample return predictability compared to linear econometric baselines (Fama-MacBeth OLS, LASSO, ElasticNet)?</w:t>
      </w:r>
    </w:p>
    <w:p>
      <w:r>
        <w:t>Hypothesis 1: Non-linear models—especially sequence-aware deep neural networks (bai2018empirical, chen2023deep)—outperform linear baselines in out-of-sample Information Coefficient (IC), Information Ratio (ICIR), and Directional Accuracy by capturing non-parametric characteristic interactions and temporal dependencies.</w:t>
      </w:r>
    </w:p>
    <w:p>
      <w:r>
        <w:t>[Research Question 2 (Multi-Modal Information Integration):] Does integrating technical indicators, quarterly Bloomberg accounting ratios, macroeconomic state variables, and news/social sentiment within a dynamic gating architecture improve prediction accuracy over single-modality models?</w:t>
      </w:r>
    </w:p>
    <w:p>
      <w:r>
        <w:t>Hypothesis 2: Multi-modal feature integration (cong2021textual, lim2021temporal) allows dynamic attention mechanisms to reweight feature modalities as macroeconomic regimes shift, yielding higher out-of-sample correlation and signal stability.</w:t>
      </w:r>
    </w:p>
    <w:p>
      <w:r>
        <w:t>[Research Question 3 (Economic Significance \&amp; Transaction Friction):] Can out-of-sample return forecasts generate profitable trading strategies after accounting for transaction frictions (10 bps round-trip fees, execution delays, turnover, and stop-loss risk management)?</w:t>
      </w:r>
    </w:p>
    <w:p>
      <w:r>
        <w:t>Hypothesis 3: While daily portfolio rebalancing incurs cost drag under 10 bps transaction fees (novy2016taxonomy, avramov2023machine), deep sequence models paired with dynamic take-profit/stop-loss overlays help control drawdowns and compound capital over time.</w:t>
      </w:r>
    </w:p>
    <w:p>
      <w:r>
        <w:t>[Research Question 4 (Econometric Factor Spanning \&amp; Market Efficiency):] Are out-of-sample returns produced by deep learning models indicative of unpriced market alpha ( &gt; 0), or are they fully spanned by systematic risk factors ( = 0) within the Fama-French 5-Factor framework?</w:t>
      </w:r>
    </w:p>
    <w:p>
      <w:r>
        <w:t>Hypothesis 4: Out-of-sample strategy returns are explained by systematic factor risk exposures (Mkt-RF, SMB, HML, RMW, CMA) (fama2015five, kelly2019characteristics), indicating that machine learning models act as dynamic factor allocation engines rather than discoverers of unpriced arbitrage.</w:t>
      </w:r>
    </w:p>
    <w:p>
      <w:pPr>
        <w:spacing w:before="200" w:after="80"/>
        <w:ind w:firstLine="0"/>
      </w:pPr>
      <w:r>
        <w:rPr>
          <w:rFonts w:ascii="Times New Roman" w:hAnsi="Times New Roman"/>
          <w:b/>
          <w:color w:val="0A2240"/>
          <w:sz w:val="28"/>
        </w:rPr>
        <w:t>Summary of Key Empirical Findings</w:t>
      </w:r>
    </w:p>
    <w:p>
      <w:r>
        <w:t>Using a 5-fold expanding-window walk-forward validation scheme over the 2020--2024 out-of-sample period (detailed in Chapter ch:data_and_methodology and Chapter ch:empirical_results), my main findings are:</w:t>
      </w:r>
    </w:p>
    <w:p>
      <w:r>
        <w:t>Performance in Return Rank Forecasting: The custom Temporal Fusion Deep Multimodal Gated Attention (TFDMGA) network achieves the highest predictive accuracy among all evaluated models, recording an out-of-sample daily Information Coefficient of IC = +0.0348, an Information Ratio of ICIR = 3.12, a ROC AUC of 0.6120, and a directional accuracy of 56.84\%.</w:t>
      </w:r>
    </w:p>
    <w:p>
      <w:r>
        <w:t>Statistical Comparison with Baseline Sequence Models: A formal (diebold1995comparing) forecast accuracy test with (harvey1997testing) small-sample corrections confirms that TFDMGA yields statistically significant performance gains over a baseline PyTorch LSTM model (DM = 2.41, p = 0.016), validating the structural benefits of cross-modal ring attention and dynamic macro gating.</w:t>
      </w:r>
    </w:p>
    <w:p>
      <w:r>
        <w:t>Capital Compounding Trajectory: Under a realistic 10 bps round-trip transaction cost setting and a 1-day execution buffer (novy2016taxonomy), an initial \1,000 USD deposit in January 2020 grows to \3,120.99 USD under the baseline LSTM Q_5 long strategy, and reaches \4,368.50 USD with a 2:1 Take-Profit/Stop-Loss (TPSL) risk overlay. Under TFDMGA with the TPSL overlay, capital compounds to \6,482.10 USD by December 2024 (see Table tab:ch4_account_growth in Chapter ch:empirical_results).</w:t>
      </w:r>
    </w:p>
    <w:p>
      <w:r>
        <w:t>Fama-French 5-Factor Spanning \&amp; Factor Timing: Spanning regressions against the (fama2015five) 5-factor model yield an estimated net strategy alpha of  = -0.18\% per year (p = 0.976, R^2 = 41.2\%). Because net alpha is statistically zero, strategy returns are explained by dynamic risk exposure to systematic factor risks—specifically operating profitability (RMW beta = +0.512, t = +9.12)—consistent with market efficiency (fama1970efficient).</w:t>
      </w:r>
    </w:p>
    <w:p>
      <w:pPr>
        <w:spacing w:before="200" w:after="80"/>
        <w:ind w:firstLine="0"/>
      </w:pPr>
      <w:r>
        <w:rPr>
          <w:rFonts w:ascii="Times New Roman" w:hAnsi="Times New Roman"/>
          <w:b/>
          <w:color w:val="0A2240"/>
          <w:sz w:val="28"/>
        </w:rPr>
        <w:t>Structure of the Thesis Manuscript</w:t>
      </w:r>
    </w:p>
    <w:p>
      <w:r>
        <w:t>The remainder of this thesis is structured across four consolidated chapters:</w:t>
      </w:r>
    </w:p>
    <w:p>
      <w:r>
        <w:t>Chapter 2 (Literature Review) surveys academic literature in empirical asset pricing, factor models, high-dimensional regularization, and financial machine learning.</w:t>
      </w:r>
    </w:p>
    <w:p>
      <w:r>
        <w:t>Chapter 3 (Data \&amp; Methodology) details the Bloomberg point-in-time data pipeline, constituent panel construction, 59-variable feature taxonomy, baseline model formulations, and the custom TFDMGA network architecture.</w:t>
      </w:r>
    </w:p>
    <w:p>
      <w:r>
        <w:t>Chapter 4 (Empirical Results \&amp; Backtesting) presents daily Fama-MacBeth baselines, LASSO shrinkage derivations, SHAP interpretability analysis, out-of-sample predictive metrics, ablation results, trading backtests under transaction fees, and Fama-French spanning regressions.</w:t>
      </w:r>
    </w:p>
    <w:p>
      <w:r>
        <w:t>Chapter 5 (Conclusion \&amp; Future Research Extensions) summarizes the main findings, discusses theoretical and practical implications, addresses study limitations, and outlines future research extensions.</w:t>
      </w:r>
    </w:p>
    <w:p>
      <w:r>
        <w:br w:type="page"/>
      </w:r>
    </w:p>
    <w:p>
      <w:pPr>
        <w:spacing w:before="240" w:after="120"/>
        <w:ind w:firstLine="0"/>
      </w:pPr>
      <w:r>
        <w:rPr>
          <w:rFonts w:ascii="Times New Roman" w:hAnsi="Times New Roman"/>
          <w:b/>
          <w:color w:val="0A2240"/>
          <w:sz w:val="28"/>
        </w:rPr>
        <w:t>Literature Review</w:t>
      </w:r>
    </w:p>
    <w:p>
      <w:pPr>
        <w:spacing w:before="200" w:after="80"/>
        <w:ind w:firstLine="0"/>
      </w:pPr>
      <w:r>
        <w:rPr>
          <w:rFonts w:ascii="Times New Roman" w:hAnsi="Times New Roman"/>
          <w:b/>
          <w:color w:val="0A2240"/>
          <w:sz w:val="28"/>
        </w:rPr>
        <w:t>Introduction</w:t>
      </w:r>
    </w:p>
    <w:p>
      <w:r>
        <w:t>Understanding stock return predictability requires tracing the evolution of empirical asset pricing over the past six decades. Early academic frameworks established that asset prices in competitive markets reflect available information (fama1970efficient), modeling expected excess returns as linear functions of systematic risk exposures (sharpe1964capital, lintner1965valuation). Subsequent econometric advances operationalized these principles through multi-factor cross-sectional regression models (fama1973risk, ross1976arbitrage, fama1993common, fama2015five).</w:t>
      </w:r>
    </w:p>
    <w:p>
      <w:r>
        <w:t>However, the rapid expansion of financial data led to what (cochrane2011discount) famously termed the ``factor zoo''—a proliferation of over 300 candidate anomaly variables claiming to generate alpha. In response, modern financial econometrics has developed along two primary paths: (i) statistical auditing of data-mining inflation and false discovery rates (harvey2016and, harvey2020false, hou2020replicating), and (ii) high-dimensional regularized estimation and non-parametric machine learning (kozak2020shrinking, freyberger2020dissecting, gu2020empirical, chen2023deep).</w:t>
      </w:r>
    </w:p>
    <w:p>
      <w:r>
        <w:t>In this chapter, I synthesize the asset pricing literature around six key thematic pillars that ground the theoretical framework, model architectures, feature selection, and statistical inference used in this thesis:</w:t>
      </w:r>
    </w:p>
    <w:p>
      <w:r>
        <w:t>Theoretical Asset Pricing Foundations: From the single-factor equilibrium of CAPM and APT to the multi-factor models of Fama-French, Carhart, and Pastor-Stambaugh.</w:t>
      </w:r>
    </w:p>
    <w:p>
      <w:r>
        <w:t>The Factor Zoo, Multiple Testing, and Shrinkage: Multiple testing inflation, false discovery rates, and high-dimensional regularized SDF estimation.</w:t>
      </w:r>
    </w:p>
    <w:p>
      <w:r>
        <w:t>High-Dimensional SDF Estimation \&amp; Characteristic Interactions: Non-parametric characteristic selection, latent factor models, and dynamic risk loadings.</w:t>
      </w:r>
    </w:p>
    <w:p>
      <w:r>
        <w:t>Machine Learning \&amp; Deep Learning Paradigms: Non-linear empirical asset pricing, instrumented principal components, and deep sequence SDF models.</w:t>
      </w:r>
    </w:p>
    <w:p>
      <w:r>
        <w:t>Financial Time-Series Econometrics \&amp; Inference: HAC covariance estimation, out-of-sample forecast accuracy tests, and data-mining diagnostics.</w:t>
      </w:r>
    </w:p>
    <w:p>
      <w:r>
        <w:t>Financial ML Protocols \&amp; Overfitting Mitigation: Backtesting rules, expanding walk-forward splits, microstructural frictions, and transaction cost frameworks.</w:t>
      </w:r>
    </w:p>
    <w:p>
      <w:r>
        <w:t>---</w:t>
      </w:r>
    </w:p>
    <w:p>
      <w:pPr>
        <w:spacing w:before="200" w:after="80"/>
        <w:ind w:firstLine="0"/>
      </w:pPr>
      <w:r>
        <w:rPr>
          <w:rFonts w:ascii="Times New Roman" w:hAnsi="Times New Roman"/>
          <w:b/>
          <w:color w:val="0A2240"/>
          <w:sz w:val="28"/>
        </w:rPr>
        <w:t>Theoretical Asset Pricing Foundations</w:t>
      </w:r>
    </w:p>
    <w:p>
      <w:pPr>
        <w:spacing w:before="160" w:after="80"/>
        <w:ind w:firstLine="0"/>
      </w:pPr>
      <w:r>
        <w:rPr>
          <w:rFonts w:ascii="Times New Roman" w:hAnsi="Times New Roman"/>
          <w:b/>
          <w:sz w:val="24"/>
        </w:rPr>
        <w:t>Equilibrium Foundations: The CAPM and Arbitrage Pricing Theory</w:t>
      </w:r>
    </w:p>
    <w:p>
      <w:r>
        <w:t>Modern quantitative finance originates with the mean-variance portfolio theory of (markowitz1952portfolio) and the Capital Asset Pricing Model (CAPM) developed by (sharpe1964capital) and (lintner1965valuation). Under the assumptions of homogeneous investor expectations, frictionless markets, and quadratic utility or normal return distributions, investors hold identical portfolios of risky assets weighted by market capitalizations. As a result, the market portfolio R_m is mean-variance efficient, and an asset's expected return is linearly related to its covariance with the aggregate market portfolio:</w:t>
      </w:r>
    </w:p>
    <w:p>
      <w:r>
        <w:t>E[R_i,t] - R_f,t = _i,m ( E[R_m,t] - R_f,t )</w:t>
      </w:r>
    </w:p>
    <w:p>
      <w:r>
        <w:t>where the market beta _i,m = Cov(R_i,t, R_m,t)Var(R_m,t) measures systemic market risk. (black1972capital) relaxed the assumption of risk-free borrowing, introducing the zero-beta CAPM and showing that the security market line remains linear but exhibits a higher intercept and flatter slope when borrowing constraints bind.</w:t>
      </w:r>
    </w:p>
    <w:p>
      <w:r>
        <w:t>Recognizing the strict equilibrium assumptions of the CAPM, (ross1976arbitrage) formulated the Arbitrage Pricing Theory (APT). Based on the absence of asymptotic arbitrage rather than general equilibrium, APT posits that asset returns follow a K-factor linear generative structure:</w:t>
      </w:r>
    </w:p>
    <w:p>
      <w:r>
        <w:t>R_i,t &amp;= E[R_i,t] + _k=1^K _i,k\, f_k,t + _i,t</w:t>
      </w:r>
    </w:p>
    <w:p>
      <w:r>
        <w:t>where f_k,t represent mean-zero common macroeconomic risk factors, _i,k are factor loadings, and _i,t is an idiosyncratic error satisfying Cov(_i,t,\,_j,t)=0 for all i  j. By applying linear pricing space arguments in infinite-dimensional Hilbert spaces, Ross showed that expected returns are linearly spanned by factor risk premia _k:</w:t>
      </w:r>
    </w:p>
    <w:p>
      <w:r>
        <w:t>E[R_i,t] - R_f,t = _k=1^K _i,k _k</w:t>
      </w:r>
    </w:p>
    <w:p>
      <w:pPr>
        <w:spacing w:before="160" w:after="80"/>
        <w:ind w:firstLine="0"/>
      </w:pPr>
      <w:r>
        <w:rPr>
          <w:rFonts w:ascii="Times New Roman" w:hAnsi="Times New Roman"/>
          <w:b/>
          <w:sz w:val="24"/>
        </w:rPr>
        <w:t>The Fama-MacBeth Two-Pass Regression Framework</w:t>
      </w:r>
    </w:p>
    <w:p>
      <w:r>
        <w:t>To empirically test whether factor loadings explain the cross-section of expected returns, (fama1973risk) established the classic two-pass regression methodology. In the first pass, time-series regressions are conducted for each asset i over an estimation window T_1 to estimate factor loadings _i,k:</w:t>
      </w:r>
    </w:p>
    <w:p>
      <w:r>
        <w:t>R_i,t - R_f,t = _i + _k=1^K _i,k f_k,t + _i,t,  t = 1, , T_1</w:t>
      </w:r>
    </w:p>
    <w:p>
      <w:r>
        <w:t>In the second pass, cross-sectional regressions are executed at each time step t over an evaluation window T_2 using the estimated factor loadings as explanatory variables:</w:t>
      </w:r>
    </w:p>
    <w:p>
      <w:r>
        <w:t>R_i,t - R_f,t = _0,t + _k=1^K _i,k _k,t + u_i,t,  i = 1, , N</w:t>
      </w:r>
    </w:p>
    <w:p>
      <w:r>
        <w:t>The point estimates of factor risk premia _k and their standard errors are obtained by averaging the cross-sectional slope coefficients across time:</w:t>
      </w:r>
    </w:p>
    <w:p>
      <w:r>
        <w:t>_k = 1T_2 _t=1^T_2 _k,t,  SE(_k) = 1T_2(T_2-1) _t=1^T_2 ( _k,t - _k )^2</w:t>
      </w:r>
    </w:p>
    <w:p>
      <w:r>
        <w:t>While standard Fama-MacBeth standard errors assume cross-sectional independence and zero serial correlation, modern implementations incorporate Heteroskedasticity and Autocorrelation Consistent (HAC) corrections (newey1987simple) and (shanken1992on) corrections for generated regressor error in _i,k.</w:t>
      </w:r>
    </w:p>
    <w:p>
      <w:pPr>
        <w:spacing w:before="160" w:after="80"/>
        <w:ind w:firstLine="0"/>
      </w:pPr>
      <w:r>
        <w:rPr>
          <w:rFonts w:ascii="Times New Roman" w:hAnsi="Times New Roman"/>
          <w:b/>
          <w:sz w:val="24"/>
        </w:rPr>
        <w:t>Multi-Factor Models: Fama-French, Carhart, and Pastor-Stambaugh</w:t>
      </w:r>
    </w:p>
    <w:p>
      <w:r>
        <w:t>Empirical challenges to the single-factor CAPM increased during the late 1980s and early 1990s as cross-sectional anomalies emerged. (fama1992cross) showed that firm size (market capitalization) and book-to-market equity ratio (B/M) absorbed much of the cross-sectional explanatory power of market beta. To formalize these empirical findings, (fama1993common) introduced the Fama-French Three-Factor Model:</w:t>
      </w:r>
    </w:p>
    <w:p>
      <w:r>
        <w:t>R_i,t - R_f,t = _i + _i,1 (R_m,t - R_f,t) + _i,2 SMB_t + _i,3 HML_t + e_i,t</w:t>
      </w:r>
    </w:p>
    <w:p>
      <w:r>
        <w:t>where SMB_t (Small Minus Big) captures the size effect, and HML_t (High Minus Low) captures the value effect.</w:t>
      </w:r>
    </w:p>
    <w:p>
      <w:r>
        <w:t>Observing that the three-factor model failed to price the cross-sectional price momentum phenomenon identified by (jegadeesh1993returns), (carhart1997on) expanded the framework into a Four-Factor Model by adding a momentum factor (WML_t, Winners Minus Losers):</w:t>
      </w:r>
    </w:p>
    <w:p>
      <w:r>
        <w:t>R_i,t - R_f,t = _i + _i,1 (R_m,t - R_f,t) + _i,2 SMB_t + _i,3 HML_t + _i,4 WML_t + e_i,t</w:t>
      </w:r>
    </w:p>
    <w:p>
      <w:r>
        <w:t>In parallel, (pastor2003liquidity) showed that market-wide liquidity is an un-diversifiable risk factor. Stocks with high sensitivity to aggregate market liquidity fluctuations command higher expected returns to compensate investors for illiquidity shocks during market downturns.</w:t>
      </w:r>
    </w:p>
    <w:p>
      <w:r>
        <w:t>To address profitability and investment anomalies, (fama2015five) extended their three-factor model to a Five-Factor Asset Pricing Model:</w:t>
      </w:r>
    </w:p>
    <w:p>
      <w:r>
        <w:t>R_i,t - R_f,t &amp;= _i + _i,1 (R_m,t - R_f,t) + _i,2\, SMB_t + _i,3\, HML_t  \\</w:t>
      </w:r>
    </w:p>
    <w:p>
      <w:r>
        <w:t>&amp; + _i,4\, RMW_t + _i,5\, CMA_t + e_i,t</w:t>
      </w:r>
    </w:p>
    <w:p>
      <w:r>
        <w:t>where RMW_t (Robust Minus Weak) measures the profit margin return differential, and CMA_t (Conservative Minus Aggressive) captures investment intensity differentials. Grounded theoretically in the dividend discount model, (fama2015five) showed that holding book-to-market fixed, higher expected earnings imply higher expected returns, while higher expected investment rates lower expected returns. Concurrently, (hou2015digesting) established the q-factor model (Mkt, ME, I/A, ROE), showing that investment and profitability factors derived from q-theory span a wide range of cross-sectional anomalies.</w:t>
      </w:r>
    </w:p>
    <w:p>
      <w:r>
        <w:t>---</w:t>
      </w:r>
    </w:p>
    <w:p>
      <w:pPr>
        <w:spacing w:before="200" w:after="80"/>
        <w:ind w:firstLine="0"/>
      </w:pPr>
      <w:r>
        <w:rPr>
          <w:rFonts w:ascii="Times New Roman" w:hAnsi="Times New Roman"/>
          <w:b/>
          <w:color w:val="0A2240"/>
          <w:sz w:val="28"/>
        </w:rPr>
        <w:t>The Factor Zoo Controversy, Multiple Testing, and Shrinkage</w:t>
      </w:r>
    </w:p>
    <w:p>
      <w:pPr>
        <w:spacing w:before="160" w:after="80"/>
        <w:ind w:firstLine="0"/>
      </w:pPr>
      <w:r>
        <w:rPr>
          <w:rFonts w:ascii="Times New Roman" w:hAnsi="Times New Roman"/>
          <w:b/>
          <w:sz w:val="24"/>
        </w:rPr>
        <w:t>The Proliferation of Anomalies and Cochrane's "Factor Zoo"</w:t>
      </w:r>
    </w:p>
    <w:p>
      <w:r>
        <w:t>By the early 2010s, academic literature had documented over 300 firm characteristics claiming to predict stock returns. In his American Finance Association presidential address, (cochrane2011discount) famously diagnosed this proliferation as the ``factor zoo.'' Cochrane noted that while early theoretical models assumed a small number of macro risk factors span expected returns, the literature had created a large collection of firm characteristics without establishing whether candidate factors were incremental to existing benchmarks or merely duplicate representations of underlying noise.</w:t>
      </w:r>
    </w:p>
    <w:p>
      <w:r>
        <w:t>This issue was compounded by post-publication return decay. (mclean2016does) examined 97 published cross-sectional anomalies and documented that out-of-sample anomaly portfolio returns decline by an average of 26\% after academic publication and up to 58\% after original sample periods. This decay stems from a combination of market learning (arbitrage capital exploiting newly disclosed anomalies) and data-mining biases in published literature.</w:t>
      </w:r>
    </w:p>
    <w:p>
      <w:pPr>
        <w:spacing w:before="160" w:after="80"/>
        <w:ind w:firstLine="0"/>
      </w:pPr>
      <w:r>
        <w:rPr>
          <w:rFonts w:ascii="Times New Roman" w:hAnsi="Times New Roman"/>
          <w:b/>
          <w:sz w:val="24"/>
        </w:rPr>
        <w:t>Multiple Testing Inflation and False Discovery Rates</w:t>
      </w:r>
    </w:p>
    <w:p>
      <w:r>
        <w:t>The main statistical cause of factor zoo inflation was analyzed by (harvey2016and). Traditional empirical asset pricing evaluated candidate factors using single-hypothesis Student's t-tests with standard significance thresholds (|t| &gt; 1.96, corresponding to  = 0.05). However, when hundreds of candidate signals are evaluated on the same datasets, standard significance cutoffs produce high false discovery rates due to multiple hypothesis testing.</w:t>
      </w:r>
    </w:p>
    <w:p>
      <w:r>
        <w:t>(harvey2016and) evaluated over 300 published anomaly factors under multiple testing adjustments (including Bonferroni corrections and Holm-Bonferroni procedures). They showed that to maintain a true False Discovery Rate (FDR) below 5\%, the minimum t-statistic cutoff for newly proposed asset pricing factors should be elevated to at least:</w:t>
      </w:r>
    </w:p>
    <w:p>
      <w:r>
        <w:t>|t| &gt; 3.0  (p -value &lt; 0.0027)</w:t>
      </w:r>
    </w:p>
    <w:p>
      <w:r>
        <w:t>Extending this framework, (harvey2020false) introduced Bayesian FDR frameworks that account for prior belief distributions on true alpha. In a large replication audit, (hou2020replicating) re-examined 452 cross-sectional anomalies under microcap exclusions and value-weighted portfolio rules. They showed that 65\% of published anomalies fail to achieve statistical significance at standard |t| &gt; 1.96 thresholds, and over 85\% fail under the |t| &gt; 3.0 threshold proposed by (harvey2016and).</w:t>
      </w:r>
    </w:p>
    <w:p>
      <w:pPr>
        <w:spacing w:before="160" w:after="80"/>
        <w:ind w:firstLine="0"/>
      </w:pPr>
      <w:r>
        <w:rPr>
          <w:rFonts w:ascii="Times New Roman" w:hAnsi="Times New Roman"/>
          <w:b/>
          <w:sz w:val="24"/>
        </w:rPr>
        <w:t>High-Dimensional Regularized SDF Estimation</w:t>
      </w:r>
    </w:p>
    <w:p>
      <w:r>
        <w:t>To address the factor zoo problem structurally, econometricians re-framed asset pricing as a high-dimensional regularized Stochastic Discount Factor (SDF) estimation problem. In a stochastic discount factor framework, an asset pricing model specifies a scalar pricing kernel M_t+1 such that for all excess returns R_i,t+1:</w:t>
      </w:r>
    </w:p>
    <w:p>
      <w:r>
        <w:t>E_t [ M_t+1 R_i,t+1 ] = 0</w:t>
      </w:r>
    </w:p>
    <w:p>
      <w:r>
        <w:t>When the SDF is parameterized as a linear combination of a high-dimensional vector of K candidate characteristics or factor returns z_t+1, i.e., M_t+1 = 1 - b^T (z_t+1 - E[z_t+1]), unregularized sample estimators fail due to multicollinearity and K  T sample noise.</w:t>
      </w:r>
    </w:p>
    <w:p>
      <w:r>
        <w:t>(kozak2020shrinking) showed that shrinking the factor weighting vector b via combined L_1 (LASSO) and L_2 (Ridge) regularization yields robust, out-of-sample optimal SDF estimators. The regularized SDF objective function is formulated as:</w:t>
      </w:r>
    </w:p>
    <w:p>
      <w:r>
        <w:t>_b \ 1T _t=1^T ( 1 - b^T z_t )^2 + _1 \|b\|_1 + _2 \|b\|_2^2 \</w:t>
      </w:r>
    </w:p>
    <w:p>
      <w:r>
        <w:t>(kozak2020shrinking) showed that while unregularized models tend to overfit high-frequency sample noise, penalized SDF estimation extracts a low-dimensional principal component structure that spans expected returns while shrinking noise coefficients to zero.</w:t>
      </w:r>
    </w:p>
    <w:p>
      <w:r>
        <w:t>---</w:t>
      </w:r>
    </w:p>
    <w:p>
      <w:pPr>
        <w:spacing w:before="200" w:after="80"/>
        <w:ind w:firstLine="0"/>
      </w:pPr>
      <w:r>
        <w:rPr>
          <w:rFonts w:ascii="Times New Roman" w:hAnsi="Times New Roman"/>
          <w:b/>
          <w:color w:val="0A2240"/>
          <w:sz w:val="28"/>
        </w:rPr>
        <w:t>High-Dimensional SDF Estimation \&amp; Characteristic Interactions</w:t>
      </w:r>
    </w:p>
    <w:p>
      <w:pPr>
        <w:spacing w:before="160" w:after="80"/>
        <w:ind w:firstLine="0"/>
      </w:pPr>
      <w:r>
        <w:rPr>
          <w:rFonts w:ascii="Times New Roman" w:hAnsi="Times New Roman"/>
          <w:b/>
          <w:sz w:val="24"/>
        </w:rPr>
        <w:t>Non-Parametric Characteristic Pruning via Group LASSO</w:t>
      </w:r>
    </w:p>
    <w:p>
      <w:r>
        <w:t>Parallel to regularized linear SDFs, (freyberger2020dissecting) developed a non-parametric model to systematically select which firm characteristics provide incremental predictive power for expected returns. Using non-parametric B-spline expansions and Group LASSO penalties, their estimator models expected returns as:</w:t>
      </w:r>
    </w:p>
    <w:p>
      <w:r>
        <w:t>E_t[R_i,t+1] = _j=1^J g_j(c_i,j,t) + _i,t+1</w:t>
      </w:r>
    </w:p>
    <w:p>
      <w:r>
        <w:t>where c_i,j,t represents the rank-transformed characteristic j for firm i at time t, and g_j() is a non-linear continuous function. The Group LASSO penalty penalizes the vector of spline coefficients for each characteristic simultaneously:</w:t>
      </w:r>
    </w:p>
    <w:p>
      <w:r>
        <w:t>_\g_j\ \ 1NT _i=1^N _t=1^T ( R_i,t+1 - _j=1^J g_j(c_i,j,t) )^2 +  _j=1^J dim(g_j) \|g_j\|_2 \</w:t>
      </w:r>
    </w:p>
    <w:p>
      <w:r>
        <w:t>(freyberger2020dissecting) showed that out of more than 50 published characteristics, only a small subset (such as short-term momentum, market capitalization, operating profitability, and asset growth) retain independent predictive power once non-linearities and characteristic redundancies are penalized.</w:t>
      </w:r>
    </w:p>
    <w:p>
      <w:pPr>
        <w:spacing w:before="160" w:after="80"/>
        <w:ind w:firstLine="0"/>
      </w:pPr>
      <w:r>
        <w:rPr>
          <w:rFonts w:ascii="Times New Roman" w:hAnsi="Times New Roman"/>
          <w:b/>
          <w:sz w:val="24"/>
        </w:rPr>
        <w:t>Sparse Signals and Latent Factor Shrinkage</w:t>
      </w:r>
    </w:p>
    <w:p>
      <w:r>
        <w:t>(chinco2019sparse) examined sparse return predictability at high frequencies, showing that LASSO regression identifies transient, cross-asset predictive signals that standard time-series estimators miss. Grounding model selection in econometric diagnostics, (lewellen2010skeptical) provided a critique of cross-sectional asset pricing tests. They showed that testing multi-factor models on strong factor-structure portfolios (such as standard 25 Size-B/M sorted portfolios) produces artificially inflated cross-sectional R^2 values. They prescribed rigorous diagnostic standards: expanding test portfolios beyond Size-B/M, forcing theoretical factor risk premia to equal sample factor means, and reporting confidence intervals for cross-sectional R^2.</w:t>
      </w:r>
    </w:p>
    <w:p>
      <w:r>
        <w:t>Expanding structural factor selection, (feng2020taming) and (giglio2021test) developed double-testing econometric frameworks combining LASSO factor selection with two-pass regressions. They showed that high-dimensional regularization enables researchers to evaluate whether a newly proposed factor adds incremental explanatory power to the existing universe of 300+ factors without suffering from omitted variable bias or data mining contamination.</w:t>
      </w:r>
    </w:p>
    <w:p>
      <w:r>
        <w:t>---</w:t>
      </w:r>
    </w:p>
    <w:p>
      <w:pPr>
        <w:spacing w:before="200" w:after="80"/>
        <w:ind w:firstLine="0"/>
      </w:pPr>
      <w:r>
        <w:rPr>
          <w:rFonts w:ascii="Times New Roman" w:hAnsi="Times New Roman"/>
          <w:b/>
          <w:color w:val="0A2240"/>
          <w:sz w:val="28"/>
        </w:rPr>
        <w:t>Machine Learning and Deep Learning Paradigms</w:t>
      </w:r>
    </w:p>
    <w:p>
      <w:pPr>
        <w:spacing w:before="160" w:after="80"/>
        <w:ind w:firstLine="0"/>
      </w:pPr>
      <w:r>
        <w:rPr>
          <w:rFonts w:ascii="Times New Roman" w:hAnsi="Times New Roman"/>
          <w:b/>
          <w:sz w:val="24"/>
        </w:rPr>
        <w:t>Empirical Asset Pricing Benchmark: Gu, Kelly, and Xiu (2020)</w:t>
      </w:r>
    </w:p>
    <w:p>
      <w:r>
        <w:t>The landmark study by (gu2020empirical) established a primary theoretical and empirical benchmark for financial machine learning. Analyzing a panel of over 30,000 U.S. equities over 60 years (1957--2016) with 94 firm-level characteristics and 8 macroeconomic indicators, Gu, Kelly, and Xiu evaluated a range of machine learning architectures: Linear OLS, LASSO, ElasticNet, Principal Component Regression (PCR), Partial Least Squares (PLS), Random Forests, Gradient Boosted Decision Trees (GBDT), and multi-layer Feedforward Neural Networks (MLP).</w:t>
      </w:r>
    </w:p>
    <w:p>
      <w:r>
        <w:t>The non-linear forecasting panel model is defined as:</w:t>
      </w:r>
    </w:p>
    <w:p>
      <w:r>
        <w:t>R_i,t+1 = g^*(x_i,t) + _i,t+1,  x_i,t = c_i,t  d_t</w:t>
      </w:r>
    </w:p>
    <w:p>
      <w:r>
        <w:t>where c_i,t is a p-dimensional vector of firm characteristics, d_t is an m-dimensional vector of macro variables, and  denotes the Kronecker product creating interactive feature conditioning.</w:t>
      </w:r>
    </w:p>
    <w:p>
      <w:r>
        <w:t>(gu2020empirical) highlighted three main empirical findings:</w:t>
      </w:r>
    </w:p>
    <w:p>
      <w:r>
        <w:t>Non-Linear Model Performance: Non-linear models (GBDT, Neural Networks) outperform linear models in out-of-sample predictive R_oos^2, doubling the annualized Sharpe ratios of long-short hedge portfolios.</w:t>
      </w:r>
    </w:p>
    <w:p>
      <w:r>
        <w:t>Importance of Interaction Terms: A main source of machine learning gain comes from automatically capturing non-linear characteristic interactions (such as the interaction of size with short-term momentum and liquidity).</w:t>
      </w:r>
    </w:p>
    <w:p>
      <w:r>
        <w:t>Neural Network Architecture: Shallow neural architectures with 1 to 3 hidden layers achieve better performance compared to deeper networks, as excessive depth can lead to overfitting on low signal-to-noise equity return data.</w:t>
      </w:r>
    </w:p>
    <w:p>
      <w:pPr>
        <w:spacing w:before="160" w:after="80"/>
        <w:ind w:firstLine="0"/>
      </w:pPr>
      <w:r>
        <w:rPr>
          <w:rFonts w:ascii="Times New Roman" w:hAnsi="Times New Roman"/>
          <w:b/>
          <w:sz w:val="24"/>
        </w:rPr>
        <w:t>Characteristics as Dynamic Risk Exposures: IPCA</w:t>
      </w:r>
    </w:p>
    <w:p>
      <w:r>
        <w:t>Theoretical motivation for why machine learning return forecasts succeed was provided by (kelly2019characteristics). Introducing Instrumented Principal Component Analysis (IPCA), Kelly, Pruitt, and Su modeled asset returns as:</w:t>
      </w:r>
    </w:p>
    <w:p>
      <w:r>
        <w:t>R_i,t+1 = z_i,t^T _ f_t+1 + _i,t+1</w:t>
      </w:r>
    </w:p>
    <w:p>
      <w:r>
        <w:t>where z_i,t is a vector of observable firm characteristics, _ is a mapping matrix connecting characteristics to dynamic factor loadings (_i,t = _^T z_i,t), and f_t+1 represents unobservable latent factor returns.</w:t>
      </w:r>
    </w:p>
    <w:p>
      <w:r>
        <w:t>(kelly2019characteristics) showed that firm characteristics serve as proxies for time-varying factor risk exposures. Consequently, machine learning return predictors predicting R_i,t+1 = g(z_i,t) are implicitly estimating dynamic latent factor models with time-varying risk loadings.</w:t>
      </w:r>
    </w:p>
    <w:p>
      <w:pPr>
        <w:spacing w:before="160" w:after="80"/>
        <w:ind w:firstLine="0"/>
      </w:pPr>
      <w:r>
        <w:rPr>
          <w:rFonts w:ascii="Times New Roman" w:hAnsi="Times New Roman"/>
          <w:b/>
          <w:sz w:val="24"/>
        </w:rPr>
        <w:t>Deep Learning and Non-Parametric SDF Estimation</w:t>
      </w:r>
    </w:p>
    <w:p>
      <w:r>
        <w:t>Extending ML to advanced deep architectures, (chen2023deep) developed deep neural network models that estimate non-parametric asset pricing SDFs directly from high-dimensional equity panels. By parameterizing factor loadings (c_i,t) as non-linear functions of firm characteristics using Deep Neural Networks (DNNs) combined with Generative Adversarial Networks (GANs), Chen, Pelger, and Zhu showed that deep learning captures macroeconomic regime shifts and structural non-linearities that linear factor models may miss.</w:t>
      </w:r>
    </w:p>
    <w:p>
      <w:r>
        <w:t>Similarly, (cong2021textual) incorporated multi-modal deep learning architectures to process accounting signals alongside high-dimensional textual information. To help explain the predictions of deep neural networks, (lundberg2017unified) introduced SHapley Additive exPlanations (SHAP), based on cooperative game theory. SHAP decomposes a model prediction f(x) into additive feature contributions:</w:t>
      </w:r>
    </w:p>
    <w:p>
      <w:r>
        <w:t>f(x) = _0 + _j=1^M _j x_j</w:t>
      </w:r>
    </w:p>
    <w:p>
      <w:r>
        <w:t>providing transparent economic interpretation of non-linear asset pricing models.</w:t>
      </w:r>
    </w:p>
    <w:p>
      <w:pPr>
        <w:spacing w:before="160" w:after="80"/>
        <w:ind w:firstLine="0"/>
      </w:pPr>
      <w:r>
        <w:rPr>
          <w:rFonts w:ascii="Times New Roman" w:hAnsi="Times New Roman"/>
          <w:b/>
          <w:sz w:val="24"/>
        </w:rPr>
        <w:t>Economic Frictions and Limits to Arbitrage</w:t>
      </w:r>
    </w:p>
    <w:p>
      <w:r>
        <w:t>While machine learning models achieve notable statistical R_oos^2, (avramov2023machine) investigated whether these return forecast gains survive real-world economic frictions. Avramov, Cheng, and Metzker showed that machine learning return predictability is heavily concentrated in illiquid, microcap stocks with high distress risk, high transaction costs, and borrowing constraints. When portfolios exclude microcaps or account for realistic execution costs, out-of-sample profits decline significantly. This highlights the importance of integrating microstructural frictions into financial machine learning evaluation.</w:t>
      </w:r>
    </w:p>
    <w:p>
      <w:r>
        <w:t>---</w:t>
      </w:r>
    </w:p>
    <w:p>
      <w:pPr>
        <w:spacing w:before="200" w:after="80"/>
        <w:ind w:firstLine="0"/>
      </w:pPr>
      <w:r>
        <w:rPr>
          <w:rFonts w:ascii="Times New Roman" w:hAnsi="Times New Roman"/>
          <w:b/>
          <w:color w:val="0A2240"/>
          <w:sz w:val="28"/>
        </w:rPr>
        <w:t>Financial Time-Series Econometrics \&amp; Inference</w:t>
      </w:r>
    </w:p>
    <w:p>
      <w:pPr>
        <w:spacing w:before="160" w:after="80"/>
        <w:ind w:firstLine="0"/>
      </w:pPr>
      <w:r>
        <w:rPr>
          <w:rFonts w:ascii="Times New Roman" w:hAnsi="Times New Roman"/>
          <w:b/>
          <w:sz w:val="24"/>
        </w:rPr>
        <w:t>Heteroskedasticity and Autocorrelation Consistent (HAC) Inference</w:t>
      </w:r>
    </w:p>
    <w:p>
      <w:r>
        <w:t>Financial return time series exhibit conditional heteroskedasticity, volatility clustering, and serial dependence. Standard Ordinary Least Squares (OLS) covariance estimators understate parameter variances, yielding artificially inflated t-statistics. To provide valid statistical inference, (newey1987simple) developed the Heteroskedasticity and Autocorrelation Consistent (HAC) covariance matrix estimator.</w:t>
      </w:r>
    </w:p>
    <w:p>
      <w:r>
        <w:t>For a time series of regression residuals e_t and regressors X_t, defining u_t = X_t e_t, the Newey-West estimator computes the sample covariance matrix _NW as:</w:t>
      </w:r>
    </w:p>
    <w:p>
      <w:r>
        <w:t>_NW = _0 + _j=1^L w(j, L) ( _j + _j^T )</w:t>
      </w:r>
    </w:p>
    <w:p>
      <w:r>
        <w:t>where _j = 1T _t=j+1^T u_t u_t-j^T is the sample autocovariance matrix at lag j, and w(j, L) = 1 - jL+1 represents the Bartlett kernel weighting function over a maximum lag length L. The Bartlett kernel ensures that _NW is positive semi-definite in finite samples.</w:t>
      </w:r>
    </w:p>
    <w:p>
      <w:pPr>
        <w:spacing w:before="160" w:after="80"/>
        <w:ind w:firstLine="0"/>
      </w:pPr>
      <w:r>
        <w:rPr>
          <w:rFonts w:ascii="Times New Roman" w:hAnsi="Times New Roman"/>
          <w:b/>
          <w:sz w:val="24"/>
        </w:rPr>
        <w:t>Out-of-Sample Predictive Accuracy: Diebold-Mariano and HLN Corrections</w:t>
      </w:r>
    </w:p>
    <w:p>
      <w:r>
        <w:t>When comparing out-of-sample forecast accuracy between two competing forecasting models (such as a deep sequence network versus a baseline linear factor model), standard independent sample t-tests are invalid due to forecast error autocorrelation. (diebold1995comparing) introduced a distribution-free statistic for testing the null hypothesis of equal predictive accuracy.</w:t>
      </w:r>
    </w:p>
    <w:p>
      <w:r>
        <w:t>Let e_1,t and e_2,t denote forecast errors from Model 1 and Model 2 at time t. The loss differential sequence is defined under a loss function L() (such as Mean Squared Error):</w:t>
      </w:r>
    </w:p>
    <w:p>
      <w:r>
        <w:t>d_t = L(e_1,t) - L(e_2,t)</w:t>
      </w:r>
    </w:p>
    <w:p>
      <w:r>
        <w:t>The null hypothesis of equal forecast accuracy is H_0: E[d_t] = 0. The Diebold-Mariano (DM) test statistic is given by:</w:t>
      </w:r>
    </w:p>
    <w:p>
      <w:r>
        <w:t>DM = dV(d)T d N(0, 1)</w:t>
      </w:r>
    </w:p>
    <w:p>
      <w:r>
        <w:t>where d = 1T_t=1^T d_t, and V(d) is the HAC-adjusted asymptotic variance of the loss differential sequence using the Newey-West estimator.</w:t>
      </w:r>
    </w:p>
    <w:p>
      <w:r>
        <w:t>To correct for small-sample size distortion in modest evaluation panels, (harvey1997testing) introduced the Harvey-Leybourne-Newbold (HLN) small-sample correction. For a forecast horizon h, the HLN-adjusted statistic is:</w:t>
      </w:r>
    </w:p>
    <w:p>
      <w:r>
        <w:t>DM^* = DM  [ T + 1 - 2h + T^-1h(h-1)T ]^1/2</w:t>
      </w:r>
    </w:p>
    <w:p>
      <w:r>
        <w:t>Critical values for DM^* are drawn from the Student's t-distribution with (T-1) degrees of freedom, providing robust inference in empirical financial panels.</w:t>
      </w:r>
    </w:p>
    <w:p>
      <w:pPr>
        <w:spacing w:before="160" w:after="80"/>
        <w:ind w:firstLine="0"/>
      </w:pPr>
      <w:r>
        <w:rPr>
          <w:rFonts w:ascii="Times New Roman" w:hAnsi="Times New Roman"/>
          <w:b/>
          <w:sz w:val="24"/>
        </w:rPr>
        <w:t>Data Mining Diagnostics: Reality Check and Superior Predictive Ability</w:t>
      </w:r>
    </w:p>
    <w:p>
      <w:r>
        <w:t>When searching across multiple model hyperparameter configurations or architecture variants, researchers risk selecting a model that performs well out-of-sample purely by chance. To control for data mining, (white2000reality) introduced the Reality Check for Data Mining. White formulated a bootstrap procedure over the joint distribution of benchmark and candidate model forecasts to test whether the best performing candidate model genuinely outperforms the benchmark.</w:t>
      </w:r>
    </w:p>
    <w:p>
      <w:r>
        <w:t>Recognizing that White's Reality Check can be conservative when poor candidate models are included, (hansen2005superior) refined the framework into the Superior Predictive Ability (SPA) test. Hansen introduced a studentized test statistic with sample-dependent variance adjustments:</w:t>
      </w:r>
    </w:p>
    <w:p>
      <w:r>
        <w:t>T_k^SPA = _k=1, , K T d_k_k</w:t>
      </w:r>
    </w:p>
    <w:p>
      <w:r>
        <w:t>where _k^2 is a consistent estimator of the asymptotic variance of Td_k. Hansen showed that the SPA test exhibits higher power and robustness against uninformative candidate models, serving as a useful diagnostic for quantitative model comparison.</w:t>
      </w:r>
    </w:p>
    <w:p>
      <w:r>
        <w:t>---</w:t>
      </w:r>
    </w:p>
    <w:p>
      <w:pPr>
        <w:spacing w:before="200" w:after="80"/>
        <w:ind w:firstLine="0"/>
      </w:pPr>
      <w:r>
        <w:rPr>
          <w:rFonts w:ascii="Times New Roman" w:hAnsi="Times New Roman"/>
          <w:b/>
          <w:color w:val="0A2240"/>
          <w:sz w:val="28"/>
        </w:rPr>
        <w:t>Financial ML Protocols \&amp; Overfitting Mitigation</w:t>
      </w:r>
    </w:p>
    <w:p>
      <w:pPr>
        <w:spacing w:before="160" w:after="80"/>
        <w:ind w:firstLine="0"/>
      </w:pPr>
      <w:r>
        <w:rPr>
          <w:rFonts w:ascii="Times New Roman" w:hAnsi="Times New Roman"/>
          <w:b/>
          <w:sz w:val="24"/>
        </w:rPr>
        <w:t>Methodological Pitfalls in Financial Machine Learning</w:t>
      </w:r>
    </w:p>
    <w:p>
      <w:r>
        <w:t>In financial machine learning, standard statistical cross-validation techniques (such as standard randomized K-fold CV) can fail. As detailed by (lopez2018advances), financial time-series data violate the independent and identically distributed (i.i.d.) assumption. Applying naive cross-validation induces several methodological problems:</w:t>
      </w:r>
    </w:p>
    <w:p>
      <w:r>
        <w:t>Lookahead Leakage: Using future information (such as future target returns or lookahead normalized features) during training.</w:t>
      </w:r>
    </w:p>
    <w:p>
      <w:r>
        <w:t>Serial Memory Contamination: Overlapping target return windows (such as multi-day cumulative returns) allow training samples to overlap with test samples, leaking labels across folds.</w:t>
      </w:r>
    </w:p>
    <w:p>
      <w:r>
        <w:t>Backtest Overfitting: Iteratively tuning model parameters directly on test set Sharpe ratios until an illusion of profitability is produced.</w:t>
      </w:r>
    </w:p>
    <w:p>
      <w:pPr>
        <w:spacing w:before="160" w:after="80"/>
        <w:ind w:firstLine="0"/>
      </w:pPr>
      <w:r>
        <w:rPr>
          <w:rFonts w:ascii="Times New Roman" w:hAnsi="Times New Roman"/>
          <w:b/>
          <w:sz w:val="24"/>
        </w:rPr>
        <w:t>Validation Protocols</w:t>
      </w:r>
    </w:p>
    <w:p>
      <w:r>
        <w:t>To ensure backtesting integrity, (lopez2018advances) established validation protocols:</w:t>
      </w:r>
    </w:p>
    <w:p>
      <w:r>
        <w:t>Expanding Walk-Forward Validation: Models are trained on historical data t  [1, T_train] and evaluated on subsequent out-of-sample periods t  [T_train+1, T_test]. The training window expands iteratively over time.</w:t>
      </w:r>
    </w:p>
    <w:p>
      <w:r>
        <w:t>Combinatorial Purged Cross-Validation (CPCV): When non-sequential cross-validation is conducted, training folds adjacent to test folds are purged by removing samples whose label windows overlap with test windows. Furthermore, an embargo period is appended after test sets to eliminate serial correlation leakage.</w:t>
      </w:r>
    </w:p>
    <w:p>
      <w:r>
        <w:t>Point-in-Time Data Alignment: Financial fundamentals and accounting metrics are indexed by their actual public SEC disclosure dates (such as 10-K/10-Q filing dates) rather than fiscal period end dates.</w:t>
      </w:r>
    </w:p>
    <w:p>
      <w:pPr>
        <w:spacing w:before="160" w:after="80"/>
        <w:ind w:firstLine="0"/>
      </w:pPr>
      <w:r>
        <w:rPr>
          <w:rFonts w:ascii="Times New Roman" w:hAnsi="Times New Roman"/>
          <w:b/>
          <w:sz w:val="24"/>
        </w:rPr>
        <w:t>Microstructural Frictions and Execution Drag</w:t>
      </w:r>
    </w:p>
    <w:p>
      <w:r>
        <w:t>A gap between academic backtests and practical trading is execution friction. (novy2016taxonomy) developed a transaction cost framework for cross-sectional anomalies. Novy-Marx and Velikov showed that trading costs depend heavily on portfolio turnover:</w:t>
      </w:r>
    </w:p>
    <w:p>
      <w:r>
        <w:t>Net Return_i,t+1 = R_i,t+1 - _i  Turnover_i,t</w:t>
      </w:r>
    </w:p>
    <w:p>
      <w:r>
        <w:t>where _i represents effective bid-ask spreads and market impact costs. High-turnover strategies (such as short-term reversal or high-frequency anomaly signals) incur transaction costs that can exceed 50--100 basis points per trade, reducing gross alphas.</w:t>
      </w:r>
    </w:p>
    <w:p>
      <w:r>
        <w:t>Furthermore, execution realism mandates an execution delay: trading signals generated at market close on day t cannot be executed until day t+1 close or open. In addition, leverage constraints and margin costs (frazzini2014betting) restrict short-selling capacity on distressed equities, reinforcing the necessity of evaluating long-only and cost-adjusted long-short performance.</w:t>
      </w:r>
    </w:p>
    <w:p>
      <w:r>
        <w:t>---</w:t>
      </w:r>
    </w:p>
    <w:p>
      <w:pPr>
        <w:spacing w:before="200" w:after="80"/>
        <w:ind w:firstLine="0"/>
      </w:pPr>
      <w:r>
        <w:rPr>
          <w:rFonts w:ascii="Times New Roman" w:hAnsi="Times New Roman"/>
          <w:b/>
          <w:color w:val="0A2240"/>
          <w:sz w:val="28"/>
        </w:rPr>
        <w:t>Synthesis of Core Literature Benchmarks</w:t>
      </w:r>
    </w:p>
    <w:p>
      <w:r>
        <w:t>Table tab:ch2_lit_synthesis_comprehensive provides a synthesis of the literature that anchors the theoretical framing, model architecture, feature engineering, econometric estimation, and validation of this thesis.</w:t>
      </w:r>
    </w:p>
    <w:p>
      <w:r>
        <w:t>Comprehensive Synthesis of Core Literature Benchmarks</w:t>
      </w:r>
    </w:p>
    <w:p>
      <w:r>
        <w:t>Thematic Domain &amp; Key Literature Citation &amp; Core Theoretical / Econometric Finding &amp; Implementation in Thesis \\</w:t>
      </w:r>
    </w:p>
    <w:p>
      <w:r>
        <w:t>4*[l]Asset Pricing\</w:t>
      </w:r>
    </w:p>
    <w:p>
      <w:r>
        <w:t>&amp; (sharpe1964capital), (lintner1965valuation) &amp; Single-factor CAPM equilibrium; market beta linear pricing &amp; Baseline risk benchmark \\</w:t>
      </w:r>
    </w:p>
    <w:p>
      <w:r>
        <w:t>&amp; (fama1973risk) &amp; Two-pass cross-sectional regression methodology &amp; Baseline linear factor risk premia \\</w:t>
      </w:r>
    </w:p>
    <w:p>
      <w:r>
        <w:t>&amp; (ross1976arbitrage) &amp; Arbitrage Pricing Theory (APT); multi-factor space &amp; Linear multi-factor baseline \\</w:t>
      </w:r>
    </w:p>
    <w:p>
      <w:r>
        <w:t>&amp; (fama1993common), (fama2015five) &amp; 3-Factor and 5-Factor models (Mkt, SMB, HML, RMW, CMA) &amp; Econometric spanning regressions \\</w:t>
      </w:r>
    </w:p>
    <w:p>
      <w:r>
        <w:t>&amp; (carhart1997on), (pastor2003liquidity) &amp; Price momentum (WML) and aggregate market liquidity factors &amp; Extended multi-factor benchmark \\</w:t>
      </w:r>
    </w:p>
    <w:p>
      <w:r>
        <w:t>4*[l]Factor Zoo \&amp;\</w:t>
      </w:r>
    </w:p>
    <w:p>
      <w:r>
        <w:t>&amp; (cochrane2011discount) &amp; Factor zoo diagnosis; lack of unified factor structure &amp; High-dimensional model motivation \\</w:t>
      </w:r>
    </w:p>
    <w:p>
      <w:r>
        <w:t>&amp; (harvey2016and), (harvey2020false) &amp; Multiple testing bias; minimum hurdle rate |t| &gt; 3.0 &amp; Feature auditing threshold \\</w:t>
      </w:r>
    </w:p>
    <w:p>
      <w:r>
        <w:t>&amp; (hou2020replicating), (mclean2016does) &amp; 65\%+ anomaly replication failure; post-publication decay &amp; Microcap exclusions \&amp; value weighting \\</w:t>
      </w:r>
    </w:p>
    <w:p>
      <w:r>
        <w:t>&amp; (kozak2020shrinking) &amp; Regularized L_1/L_2 SDF shrinkage in high dimensions &amp; Penalized Ridge/ElasticNet baselines \\</w:t>
      </w:r>
    </w:p>
    <w:p>
      <w:r>
        <w:t>&amp; (freyberger2020dissecting) &amp; Non-parametric Group LASSO characteristic pruning &amp; Rank-normalized feature selection \\</w:t>
      </w:r>
    </w:p>
    <w:p>
      <w:r>
        <w:t>4*[l]Machine Learning\\\&amp; Deep Learning</w:t>
      </w:r>
    </w:p>
    <w:p>
      <w:r>
        <w:t>&amp; (gu2020empirical) &amp; Non-linear ML performance; interaction terms; 1--3 layer networks &amp; Experimental lineup design \\</w:t>
      </w:r>
    </w:p>
    <w:p>
      <w:r>
        <w:t>&amp; (kelly2019characteristics) &amp; Instrumented PCA (IPCA); characteristics as dynamic betas &amp; Latent dynamic factor framing \\</w:t>
      </w:r>
    </w:p>
    <w:p>
      <w:r>
        <w:t>&amp; (chen2023deep) &amp; Deep learning non-parametric SDF estimation via GANs &amp; Sequence model architecture \\</w:t>
      </w:r>
    </w:p>
    <w:p>
      <w:r>
        <w:t>&amp; (avramov2023machine) &amp; ML gains concentrated in illiquid hard-to-arbitrage stocks &amp; Size-stratified empirical evaluation \\</w:t>
      </w:r>
    </w:p>
    <w:p>
      <w:r>
        <w:t>&amp; (lundberg2017unified) &amp; SHAP additive feature attribution for non-linear models &amp; Model interpretability framework \\</w:t>
      </w:r>
    </w:p>
    <w:p>
      <w:r>
        <w:t>4*[l]Time-Series\</w:t>
      </w:r>
    </w:p>
    <w:p>
      <w:r>
        <w:t>&amp; (newey1987simple) &amp; HAC robust standard errors; Bartlett kernel weighting &amp; Fama-MacBeth HAC t-statistics \\</w:t>
      </w:r>
    </w:p>
    <w:p>
      <w:r>
        <w:t>&amp; (diebold1995comparing), (harvey1997testing) &amp; Out-of-sample forecast accuracy test \&amp; HLN correction &amp; Model forecast comparison tests \\</w:t>
      </w:r>
    </w:p>
    <w:p>
      <w:r>
        <w:t>&amp; (white2000reality), (hansen2005superior) &amp; Reality Check and Superior Predictive Ability (SPA) tests &amp; Hyperparameter data-mining audit \\</w:t>
      </w:r>
    </w:p>
    <w:p>
      <w:r>
        <w:t>3*[l]Financial ML\</w:t>
      </w:r>
    </w:p>
    <w:p>
      <w:r>
        <w:t>&amp; (lopez2018advances) &amp; Financial ML protocols; purging, embargoing, walk-forward &amp; 5-Fold expanding walk-forward split \\</w:t>
      </w:r>
    </w:p>
    <w:p>
      <w:r>
        <w:t>&amp; (novy2016taxonomy) &amp; Transaction cost taxonomy; effective spreads and impact &amp; 10 bps friction drag evaluation \\</w:t>
      </w:r>
    </w:p>
    <w:p>
      <w:r>
        <w:t>&amp; (frazzini2014betting) &amp; Betting against beta; leverage constraints and margin drag &amp; Execution delay \&amp; shorting rules \\</w:t>
      </w:r>
    </w:p>
    <w:p>
      <w:pPr>
        <w:spacing w:before="200" w:after="80"/>
        <w:ind w:firstLine="0"/>
      </w:pPr>
      <w:r>
        <w:rPr>
          <w:rFonts w:ascii="Times New Roman" w:hAnsi="Times New Roman"/>
          <w:b/>
          <w:color w:val="0A2240"/>
          <w:sz w:val="28"/>
        </w:rPr>
        <w:t>Summary</w:t>
      </w:r>
    </w:p>
    <w:p>
      <w:r>
        <w:t>In conclusion, the evolution of empirical asset pricing shows a clear transition from simple linear factor models toward regularized high-dimensional estimation and non-parametric deep sequence architectures. By synthesizing the theoretical insights of factor pricing, the statistical rigor of multiple testing adjustments, the predictive capability of deep sequence networks, and empirical validation protocols, this thesis builds a framework for cross-sectional stock return prediction.</w:t>
      </w:r>
    </w:p>
    <w:p>
      <w:r>
        <w:br w:type="page"/>
      </w:r>
    </w:p>
    <w:p>
      <w:pPr>
        <w:spacing w:before="240" w:after="120"/>
        <w:ind w:firstLine="0"/>
      </w:pPr>
      <w:r>
        <w:rPr>
          <w:rFonts w:ascii="Times New Roman" w:hAnsi="Times New Roman"/>
          <w:b/>
          <w:color w:val="0A2240"/>
          <w:sz w:val="28"/>
        </w:rPr>
        <w:t>Data &amp; Methodology</w:t>
      </w:r>
    </w:p>
    <w:p>
      <w:pPr>
        <w:spacing w:before="200" w:after="80"/>
        <w:ind w:firstLine="0"/>
      </w:pPr>
      <w:r>
        <w:rPr>
          <w:rFonts w:ascii="Times New Roman" w:hAnsi="Times New Roman"/>
          <w:b/>
          <w:color w:val="0A2240"/>
          <w:sz w:val="28"/>
        </w:rPr>
        <w:t>Data Pipeline and Sample Construction</w:t>
      </w:r>
    </w:p>
    <w:p>
      <w:r>
        <w:t>My empirical sample comprises daily stock prices, trading volumes, and quarterly financial accounting metrics for active and historical S\&amp;P 500 constituent equities from December 31, 2014, through December 31, 2024. The active evaluation window spans January 1, 2015, to December 31, 2024, yielding 2,516 trading days and over 1.25 million stock-day observations (gu2020empirical).</w:t>
      </w:r>
    </w:p>
    <w:p>
      <w:r>
        <w:t>Daily closing prices, dividend payments, stock splits, and trading volumes are ingested from Yahoo Finance and cross-verified against Bloomberg Terminal records. Daily risk-free rates (R_f,t) along with daily Fama-French 5-Factor returns (Mkt-RF_t, SMB_t, HML_t, RMW_t, CMA_t) and Carhart Momentum (MOM_t) are retrieved directly from the Ken French Data Library (fama1993common, fama2015five, carhart1997on).</w:t>
      </w:r>
    </w:p>
    <w:p>
      <w:pPr>
        <w:spacing w:before="160" w:after="80"/>
        <w:ind w:firstLine="0"/>
      </w:pPr>
      <w:r>
        <w:rPr>
          <w:rFonts w:ascii="Times New Roman" w:hAnsi="Times New Roman"/>
          <w:b/>
          <w:sz w:val="24"/>
        </w:rPr>
        <w:t>Point-in-Time Bloomberg Filing Date Alignment</w:t>
      </w:r>
    </w:p>
    <w:p>
      <w:r>
        <w:t>A common issue in empirical finance studies is lookahead bias caused by indexing corporate accounting metrics to fiscal period end-dates. In practice, financial statements for a fiscal quarter ending on December 31 (t_fiscal) are published weeks or months later during the 10-K or 10-Q SEC filing process (lopez2018advances).</w:t>
      </w:r>
    </w:p>
    <w:p>
      <w:r>
        <w:t>To eliminate lookahead contamination, my data pipeline (src/data_pipeline.py) ingests official Bloomberg publication timestamps (earnings_announcement_date / filing_date). On any given trading date t, a quarterly fundamental feature vector x_i,t^fund is updated to the newly reported accounting state Q_ if and only if:</w:t>
      </w:r>
    </w:p>
    <w:p>
      <w:r>
        <w:t>t  Announcement Date(Q_)</w:t>
      </w:r>
    </w:p>
    <w:p>
      <w:r>
        <w:t>Prior to t = Announcement Date(Q_), the model is strictly limited to using the previously announced fundamental vector Q_-1.</w:t>
      </w:r>
    </w:p>
    <w:p>
      <w:r>
        <w:t>In addition, I enforce a Staleness Truncation Rule: a fundamental observation remains active for at most 90 trading days ( 1 calendar quarter). If a firm fails to publish a new statement within 120 calendar days ( 90 trading days), the forward-fill is truncated and the corresponding fundamental fields are set to missing (NaN), preventing outdated accounting ratios from skewing cross-sectional ranks (novy2016taxonomy).</w:t>
      </w:r>
    </w:p>
    <w:p>
      <w:pPr>
        <w:spacing w:before="160" w:after="80"/>
        <w:ind w:firstLine="0"/>
      </w:pPr>
      <w:r>
        <w:rPr>
          <w:rFonts w:ascii="Times New Roman" w:hAnsi="Times New Roman"/>
          <w:b/>
          <w:sz w:val="24"/>
        </w:rPr>
        <w:t>Survivorship-Bias-Free Dynamic Panel</w:t>
      </w:r>
    </w:p>
    <w:p>
      <w:r>
        <w:t>To guard against survivorship bias, my asset universe tracks historical point-in-time S\&amp;P 500 constituent rosters obtained from Bloomberg. Companies removed from the index, acquired, or delisted due to bankruptcy between 2015 and 2024 remain in the daily cross-section up to their final active trading date T_exit (mclean2016does, hou2020replicating).</w:t>
      </w:r>
    </w:p>
    <w:p>
      <w:r>
        <w:t>Figure fig:ch3_pipeline shows my point-in-time data alignment pipeline and staleness truncation flowchart.</w:t>
      </w:r>
    </w:p>
    <w:p>
      <w:r>
        <w:t>scale=0.85, transform shape,</w:t>
      </w:r>
    </w:p>
    <w:p>
      <w:r>
        <w:t>node distance=1.2cm and 1.0cm,</w:t>
      </w:r>
    </w:p>
    <w:p>
      <w:r>
        <w:t>box/.style=draw=jpmNavy, fill=jpmLight, rectangle, rounded corners=5pt, align=center, inner sep=8pt, font=, text=jpmNavy, minimum width=3.5cm, minimum height=1.0cm,</w:t>
      </w:r>
    </w:p>
    <w:p>
      <w:r>
        <w:t>arrow/.style=-Stealth, thick, draw=jpmNavy</w:t>
      </w:r>
    </w:p>
    <w:p>
      <w:r>
        <w:t>(raw) [box] Raw Bloomberg Data\, Fundamentals, Announcements;</w:t>
      </w:r>
    </w:p>
    <w:p>
      <w:r>
        <w:t>(align) [box, right=1.0cm of raw] Point-in-Time Alignment\ by earnings\_announcement\_date;</w:t>
      </w:r>
    </w:p>
    <w:p>
      <w:r>
        <w:t>(ffill) [box, right=1.0cm of align] Forward-Fill Mechanism\ features on disclosure dates;</w:t>
      </w:r>
    </w:p>
    <w:p>
      <w:r>
        <w:t>(stale) [box, right=1.0cm of ffill] Staleness Truncation Rule\ features after 90 trading days;</w:t>
      </w:r>
    </w:p>
    <w:p>
      <w:r>
        <w:t>[arrow] (raw) -- (align);</w:t>
      </w:r>
    </w:p>
    <w:p>
      <w:r>
        <w:t>[arrow] (align) -- (ffill);</w:t>
      </w:r>
    </w:p>
    <w:p>
      <w:r>
        <w:t>[arrow] (ffill) -- (stale);</w:t>
      </w:r>
    </w:p>
    <w:p>
      <w:r>
        <w:t>Bloomberg Point-in-Time Data Pipeline and Staleness Truncation Flowchart</w:t>
      </w:r>
    </w:p>
    <w:p>
      <w:pPr>
        <w:spacing w:before="200" w:after="80"/>
        <w:ind w:firstLine="0"/>
      </w:pPr>
      <w:r>
        <w:rPr>
          <w:rFonts w:ascii="Times New Roman" w:hAnsi="Times New Roman"/>
          <w:b/>
          <w:color w:val="0A2240"/>
          <w:sz w:val="28"/>
        </w:rPr>
        <w:t>Feature Space Taxonomy and Selection</w:t>
      </w:r>
    </w:p>
    <w:p>
      <w:r>
        <w:t>My empirical panel relies on 59 variables in total, split between predictive model inputs and benchmark risk factors:</w:t>
      </w:r>
    </w:p>
    <w:p>
      <w:r>
        <w:t>53 Predictive Machine Learning Inputs: Fed directly into the machine learning and neural network architectures across four modalities: Technical (16), Fundamental (30), Sentiment (2), and Macro (5) (gu2020empirical, cong2021textual).</w:t>
      </w:r>
    </w:p>
    <w:p>
      <w:r>
        <w:t>6 Benchmark Risk Factor Betas: Retained for baseline linear regressions and econometric risk adjustments, including the 5 Fama-French systematic factor betas (Mkt-RF, SMB, HML, RMW, CMA) and Momentum (MOM) (fama2015five, carhart1997on).</w:t>
      </w:r>
    </w:p>
    <w:p>
      <w:pPr>
        <w:spacing w:before="160" w:after="80"/>
        <w:ind w:firstLine="0"/>
      </w:pPr>
      <w:r>
        <w:rPr>
          <w:rFonts w:ascii="Times New Roman" w:hAnsi="Times New Roman"/>
          <w:b/>
          <w:sz w:val="24"/>
        </w:rPr>
        <w:t>Economic Rationale for Feature Set Size (59 Variables vs. 120+ Zoo Features)</w:t>
      </w:r>
    </w:p>
    <w:p>
      <w:r>
        <w:t>When designing the characteristic space, a key decision is whether to include hundreds of candidate anomaly signals or focus on a curated panel. I deliberately choose a 59-variable feature panel rather than expanding to 120 or 250 predictors.</w:t>
      </w:r>
    </w:p>
    <w:p>
      <w:r>
        <w:t>Including vast numbers of firm characteristics in financial panels introduces practical and statistical problems. Many raw accounting metrics simply restate similar economic signals—such as minor variations of leverage ratios or momentum lookbacks—adding collinearity and noise rather than genuine predictive content (freyberger2020dissecting, kozak2020shrinking). Furthermore, as (harvey2016and) observe, testing hundreds of features increases false-discovery rates. Restricting the predictor set to 53 ML inputs grounded in four economic domains (Technical, Fundamental, Sentiment, and Macro) ensures each variable represents an established economic mechanism (pastor2003liquidity, novy2013other, cong2021textual, fama2015five). Finally, requiring hundreds of characteristics reduces cross-sectional sample coverage, as missing fundamental items force the exclusion of valid stock-day observations (avramov2023machine).</w:t>
      </w:r>
    </w:p>
    <w:p>
      <w:r>
        <w:t>Figure fig:ch3_modality_split displays the feature group modality classification.</w:t>
      </w:r>
    </w:p>
    <w:p>
      <w:r>
        <w:t>scale=0.85, transform shape,</w:t>
      </w:r>
    </w:p>
    <w:p>
      <w:r>
        <w:t>modbox/.style=draw=jpmNavy, fill=jpmLight, rectangle, rounded corners=5pt, align=center, inner sep=8pt, font=, text=jpmNavy, minimum width=3.2cm, minimum height=1.2cm,</w:t>
      </w:r>
    </w:p>
    <w:p>
      <w:r>
        <w:t>arrow/.style=-Stealth, thick, draw=jpmNavy</w:t>
      </w:r>
    </w:p>
    <w:p>
      <w:r>
        <w:t>(tech) [modbox] Technical Modality\\(16 Features)\, Volatility, RSI;</w:t>
      </w:r>
    </w:p>
    <w:p>
      <w:r>
        <w:t>(fund) [modbox, right=0.8cm of tech] Fundamental Modality\\(30 Features)\, ROA, Debt/Assets, B/M;</w:t>
      </w:r>
    </w:p>
    <w:p>
      <w:r>
        <w:t>(sent) [modbox, right=0.8cm of fund] Sentiment Modality\\(2 Features)\ Upside, Ratings;</w:t>
      </w:r>
    </w:p>
    <w:p>
      <w:r>
        <w:t>(macro) [modbox, right=0.8cm of sent] Macro Modality\\(5 Features)\, Treasury Yields, DXY;</w:t>
      </w:r>
    </w:p>
    <w:p>
      <w:r>
        <w:t>Variable Taxonomy and Feature Group Modality Split (53 ML Inputs + 6 Factor Betas = 59 Total)</w:t>
      </w:r>
    </w:p>
    <w:p>
      <w:pPr>
        <w:spacing w:before="200" w:after="80"/>
        <w:ind w:firstLine="0"/>
      </w:pPr>
      <w:r>
        <w:rPr>
          <w:rFonts w:ascii="Times New Roman" w:hAnsi="Times New Roman"/>
          <w:b/>
          <w:color w:val="0A2240"/>
          <w:sz w:val="28"/>
        </w:rPr>
        <w:t>Feature Normalization and Selection Protocol</w:t>
      </w:r>
    </w:p>
    <w:p>
      <w:r>
        <w:t>To maintain uniform scaling and stationarity, all raw characteristic variables are converted each day into Cross-Sectional Ranks mapped to the unit interval [0, 1] (freyberger2020dissecting, gu2020empirical):</w:t>
      </w:r>
    </w:p>
    <w:p>
      <w:r>
        <w:t>r_i,t,j = Rank(X_i,t,j) - 1N_t - 1  [0, 1]</w:t>
      </w:r>
    </w:p>
    <w:p>
      <w:r>
        <w:t>Rank-scaling protects models from extreme financial outliers, standardizes variables across different accounting units, and keeps distributions comparable across changing market environments.</w:t>
      </w:r>
    </w:p>
    <w:p>
      <w:r>
        <w:t>To avoid data leakage, I perform feature selection (scripts/select_features.py) using a three-stage protocol applied exclusively to pre-2020 training data (146,959 observations) (lopez2018advances). The first stage removes features with missing rates above 10\%. The second stage prunes redundant variables exhibiting pairwise Spearman correlations |_j,k| &gt; 0.85. In the third stage, an in-sample Random Forest regressor (breiman2001random) ranks remaining candidate variables, selecting the top 53 predictive features.</w:t>
      </w:r>
    </w:p>
    <w:p>
      <w:r>
        <w:t>Figure fig:ch3_corr_heatmap presents the correlation matrix of selected features, and Figure fig:ch3_rf_importance shows the Random Forest importance rankings.</w:t>
      </w:r>
    </w:p>
    <w:p>
      <w:r>
        <w:t>[width=0.82]./figures/selected_features_correlation.png</w:t>
      </w:r>
    </w:p>
    <w:p>
      <w:r>
        <w:t>Spearman Rank Correlation Heatmap of Selected 53 ML Features</w:t>
      </w:r>
    </w:p>
    <w:p>
      <w:r>
        <w:t>[width=0.82]./figures/selected_feature_importances.png</w:t>
      </w:r>
    </w:p>
    <w:p>
      <w:r>
        <w:t>Stage 3 Random Forest Feature Importance Rankings across Modalities</w:t>
      </w:r>
    </w:p>
    <w:p>
      <w:pPr>
        <w:spacing w:before="200" w:after="80"/>
        <w:ind w:firstLine="0"/>
      </w:pPr>
      <w:r>
        <w:rPr>
          <w:rFonts w:ascii="Times New Roman" w:hAnsi="Times New Roman"/>
          <w:b/>
          <w:color w:val="0A2240"/>
          <w:sz w:val="28"/>
        </w:rPr>
        <w:t>Baseline Econometric \&amp; Machine Learning Formulations</w:t>
      </w:r>
    </w:p>
    <w:p>
      <w:r>
        <w:t>To establish comparative benchmarks, I formulate four distinct model classes: linear factor regressions with robust covariance estimation, regularized linear shrinkage estimators, non-linear tree ensembles, and recurrent neural network sequence encoders.</w:t>
      </w:r>
    </w:p>
    <w:p>
      <w:pPr>
        <w:spacing w:before="160" w:after="80"/>
        <w:ind w:firstLine="0"/>
      </w:pPr>
      <w:r>
        <w:rPr>
          <w:rFonts w:ascii="Times New Roman" w:hAnsi="Times New Roman"/>
          <w:b/>
          <w:sz w:val="24"/>
        </w:rPr>
        <w:t>Fama-MacBeth 2-Pass Linear Regression \&amp; Newey-West HAC Estimation</w:t>
      </w:r>
    </w:p>
    <w:p>
      <w:r>
        <w:t>The benchmark linear asset pricing model follows the two-pass cross-sectional regression procedure of (fama1973risk), incorporating 1-day lagged factor loadings to prevent lookahead bias and heteroskedasticity and autocorrelation consistent (HAC) covariance matrices (newey1987simple).</w:t>
      </w:r>
    </w:p>
    <w:p>
      <w:r>
        <w:t>Pass 1: Rolling Time-Series Factor Loading Estimation</w:t>
      </w:r>
    </w:p>
    <w:p>
      <w:r>
        <w:t>For each individual stock i  \1, , N_t\ on trading day t, factor loadings (betas) are estimated over a rolling historical lookback window of W = 252 trading days (one calendar year). Let R_i,t = [R_i, t-W+1, R_i, t-W+2, , R_i,t]^T  R^W  1 denote the vector of historical daily excess returns for asset i, and let F_t  R^W  (K+1) represent the matrix of K benchmark factor returns plus a column of ones for the intercept:</w:t>
      </w:r>
    </w:p>
    <w:p>
      <w:r>
        <w:t>0.88!</w:t>
      </w:r>
    </w:p>
    <w:p>
      <w:r>
        <w:t>F_t = bmatrix</w:t>
      </w:r>
    </w:p>
    <w:p>
      <w:r>
        <w:t>1 &amp; F_1,\, t-W+1 &amp; F_2,\, t-W+1 &amp;  &amp; F_K,\, t-W+1 \\</w:t>
      </w:r>
    </w:p>
    <w:p>
      <w:r>
        <w:t>1 &amp; F_1,\, t-W+2 &amp; F_2,\, t-W+2 &amp;  &amp; F_K,\, t-W+2 \\</w:t>
      </w:r>
    </w:p>
    <w:p>
      <w:r>
        <w:t>&amp;  &amp;  &amp;  &amp;  \\</w:t>
      </w:r>
    </w:p>
    <w:p>
      <w:r>
        <w:t>1 &amp; F_1,\, t &amp; F_2,\, t &amp;  &amp; F_K,\, t</w:t>
      </w:r>
    </w:p>
    <w:p>
      <w:r>
        <w:t>The first-pass time-series Ordinary Least Squares (OLS) regression for stock i is formulated as:</w:t>
      </w:r>
    </w:p>
    <w:p>
      <w:r>
        <w:t>R_i,t = F_t _i,t + _i,t</w:t>
      </w:r>
    </w:p>
    <w:p>
      <w:r>
        <w:t>where _i,t = [_i,t, _i,1,t, _i,2,t, , _i,K,t]^T  R^(K+1)  1. The OLS point estimator is obtained by minimizing the sum of squared residuals:</w:t>
      </w:r>
    </w:p>
    <w:p>
      <w:r>
        <w:t>_i,t = _ (R_i,t - F_t )^T (R_i,t - F_t ) = ( F_t^T F_t )^-1 F_t^T R_i,t</w:t>
      </w:r>
    </w:p>
    <w:p>
      <w:r>
        <w:t>To enforce zero-lookahead protection, factor loadings _i,t estimated using data up to day t are indexed to predict returns at day t+1.</w:t>
      </w:r>
    </w:p>
    <w:p>
      <w:r>
        <w:t>Pass 2: Daily Cross-Sectional Factor Risk Premia Estimation</w:t>
      </w:r>
    </w:p>
    <w:p>
      <w:r>
        <w:t>On each trading day t+1, a cross-sectional OLS regression is estimated across all active constituent assets N_t+1 using the 1-day lagged factor loadings B_t = [1, _1,t, _2,t, , _N_t+1,t]^T  R^N_t+1  (K+1):</w:t>
      </w:r>
    </w:p>
    <w:p>
      <w:r>
        <w:t>R_t+1 = B_t _t+1 + _t+1</w:t>
      </w:r>
    </w:p>
    <w:p>
      <w:r>
        <w:t>where R_t+1 = [R_1,t+1, R_2,t+1, , R_N_t+1,t+1]^T  R^N_t+1  1 is the cross-section of realized forward returns, _t+1 = [_0,t+1, _1,t+1, , _K,t+1]^T  R^(K+1)  1 represents the vector of daily factor risk premia (and cross-sectional intercept _0,t+1), and _t+1 is the vector of cross-sectional pricing errors.</w:t>
      </w:r>
    </w:p>
    <w:p>
      <w:r>
        <w:t>The closed-form daily cross-sectional risk premium estimator is given by:</w:t>
      </w:r>
    </w:p>
    <w:p>
      <w:r>
        <w:t>_t+1 = ( B_t^T B_t )^-1 B_t^T R_t+1</w:t>
      </w:r>
    </w:p>
    <w:p>
      <w:r>
        <w:t>Time-Series Aggregation \&amp; Step-by-Step Newey-West HAC Proof</w:t>
      </w:r>
    </w:p>
    <w:p>
      <w:r>
        <w:t>Over an evaluation period of T trading days, the overall factor risk premium vector is estimated as the sample mean across daily cross-sectional estimates:</w:t>
      </w:r>
    </w:p>
    <w:p>
      <w:r>
        <w:t>= 1T _t=1^T _t</w:t>
      </w:r>
    </w:p>
    <w:p>
      <w:r>
        <w:t>Because daily factor risk premia estimates _t suffer from serial correlation (autocorrelation) due to overlapping return measurement horizons and conditional heteroskedasticity in asset volatility, standard i.i.d. variance estimators underestimate true standard errors, inflating test statistics.</w:t>
      </w:r>
    </w:p>
    <w:p>
      <w:r>
        <w:t>To derive a consistent estimator for the asymptotic covariance matrix of , let u_t = _t -   R^(K+1)  1 denote the vector of mean-zero risk premium innovations. The variance of the sample average factor risk premium is:</w:t>
      </w:r>
    </w:p>
    <w:p>
      <w:r>
        <w:t>Var() = Var( 1T _t=1^T _t ) = 1T^2 _t=1^T _s=1^T E[ u_t u_s^T ]</w:t>
      </w:r>
    </w:p>
    <w:p>
      <w:r>
        <w:t>Defining the sample autocovariance matrix at lag j as:</w:t>
      </w:r>
    </w:p>
    <w:p>
      <w:r>
        <w:t>_j = 1T _t=j+1^T u_t u_t-j^T,  for  j  0</w:t>
      </w:r>
    </w:p>
    <w:p>
      <w:r>
        <w:t>Equation (eq:ch3_var_gamma_sum) can be expanded into the sum of zero-lag covariance and off-diagonal cross-lag covariances:</w:t>
      </w:r>
    </w:p>
    <w:p>
      <w:r>
        <w:t>Var() = 1T [ _0 + _j=1^T-1 ( _j + _j^T ) ]</w:t>
      </w:r>
    </w:p>
    <w:p>
      <w:r>
        <w:t>Unweighted truncation of lag covariances at finite lag L &lt; T can lead to non-positive semi-definite covariance matrices in finite samples. The (newey1987simple) HAC covariance matrix estimator guarantees positive semi-definiteness by weighting lag autocovariances with the triangular Bartlett kernel w(j,L):</w:t>
      </w:r>
    </w:p>
    <w:p>
      <w:r>
        <w:t>_HAC = _0 + _j=1^L w(j, L) ( _j + _j^T )</w:t>
      </w:r>
    </w:p>
    <w:p>
      <w:r>
        <w:t>where the Bartlett kernel weights are defined as:</w:t>
      </w:r>
    </w:p>
    <w:p>
      <w:r>
        <w:t>w(j, L) = 1 - jL+1,  j = 1, 2, , L</w:t>
      </w:r>
    </w:p>
    <w:p>
      <w:r>
        <w:t>and the lag truncation bandwidth L is set according to the bandwidth selection rule L =  4 (T / 100)^2/9 .</w:t>
      </w:r>
    </w:p>
    <w:p>
      <w:r>
        <w:t>To prove that _HAC  0, express the Bartlett kernel as the spectral window resulting from the convolution of a rectangular sequence with itself. Define u_t = 0 for t  \1, , T\. Consider the smoothed sequence s_t = 1L+1 _m=0^L u_t+m. The sample covariance of s_t is positive semi-definite:</w:t>
      </w:r>
    </w:p>
    <w:p>
      <w:r>
        <w:t>M &amp;= 1T _t=-^ s_t s_t^T = 1T(L+1) _t=-^ ( _m=0^L u_t+m ) ( _n=0^L u_t+n^T )  0</w:t>
      </w:r>
    </w:p>
    <w:p>
      <w:r>
        <w:t>Expanding the double summation yields:</w:t>
      </w:r>
    </w:p>
    <w:p>
      <w:r>
        <w:t>M &amp;= 1T(L+1) _m=0^L _n=0^L _t=-^ u_t+m u_t+n^T = 1T(L+1) _m=0^L _n=0^L T _m-n \\</w:t>
      </w:r>
    </w:p>
    <w:p>
      <w:r>
        <w:t>&amp;= 1L+1 _k=-L^L (L + 1 - |k|) _k = _0 + _j=1^L ( 1 - jL+1 ) ( _j + _j^T ) = _HAC</w:t>
      </w:r>
    </w:p>
    <w:p>
      <w:r>
        <w:t>Since M is constructed as a sum of outer products s_t s_t^T, for any vector a  R^K+1, a^T _HAC a = 1T _t (a^T s_t)^2  0. Thus, _HAC is positive semi-definite.</w:t>
      </w:r>
    </w:p>
    <w:p>
      <w:r>
        <w:t>The Newey-West adjusted standard error for the k-th factor risk premium estimate _k is:</w:t>
      </w:r>
    </w:p>
    <w:p>
      <w:r>
        <w:t>SE_NW(_k) =  1T [ _HAC ]_kk</w:t>
      </w:r>
    </w:p>
    <w:p>
      <w:r>
        <w:t>and the test statistic for factor significance testing is evaluated as t(_k) = _kSE_NW(_k).</w:t>
      </w:r>
    </w:p>
    <w:p>
      <w:pPr>
        <w:spacing w:before="160" w:after="80"/>
        <w:ind w:firstLine="0"/>
      </w:pPr>
      <w:r>
        <w:rPr>
          <w:rFonts w:ascii="Times New Roman" w:hAnsi="Times New Roman"/>
          <w:b/>
          <w:sz w:val="24"/>
        </w:rPr>
        <w:t>Regularized Linear Models: ElasticNet, LASSO, \&amp; Ridge</w:t>
      </w:r>
    </w:p>
    <w:p>
      <w:r>
        <w:t>High-dimensional cross-sectional asset pricing settings with P characteristic features suffer from multicollinearity and sample overfitting under standard OLS. Regularized linear models introduce penalty structures to constrain coefficient magnitudes and perform feature selection (kozak2020shrinking).</w:t>
      </w:r>
    </w:p>
    <w:p>
      <w:r>
        <w:t>ElasticNet Objective Function</w:t>
      </w:r>
    </w:p>
    <w:p>
      <w:r>
        <w:t>Let y  R^N denote the vector of standardized forward returns across all asset-day observations, and let X  R^N  P denote the matrix of standardized stock characteristics. The ElasticNet estimator (zou2005regularization) solves the convex optimization problem:</w:t>
      </w:r>
    </w:p>
    <w:p>
      <w:r>
        <w:t>_  R^P L_EN() = 12N \|y - X\|_2^2 +  [  \|\|_1 + 1-2 \|\|_2^2 ]</w:t>
      </w:r>
    </w:p>
    <w:p>
      <w:r>
        <w:t>where  &gt; 0 controls the penalty intensity,   [0, 1] governs the ratio between the L_1 norm \|\|_1 = _j=1^P |_j| and the squared L_2 norm \|\|_2^2 = _j=1^P _j^2. Setting  = 1.0 yields the LASSO estimator (tibshirani1996regression), while  = 0.0 yields Ridge regression (hoerl1970ridge).</w:t>
      </w:r>
    </w:p>
    <w:p>
      <w:r>
        <w:t>Subgradient Calculus \&amp; Characterization of LASSO (L_1) Sparsity</w:t>
      </w:r>
    </w:p>
    <w:p>
      <w:r>
        <w:t>Because the L_1 norm is non-differentiable at _j = 0, optimization requires subgradient calculus. The subdifferential  |_j| of the absolute value function is defined as:</w:t>
      </w:r>
    </w:p>
    <w:p>
      <w:r>
        <w:t>|_j| = cases</w:t>
      </w:r>
    </w:p>
    <w:p>
      <w:r>
        <w:t>\ +1 \ &amp; if  _j &gt; 0 \\</w:t>
      </w:r>
    </w:p>
    <w:p>
      <w:r>
        <w:t>\ -1 \ &amp; if  _j &lt; 0 \\</w:t>
      </w:r>
    </w:p>
    <w:p>
      <w:r>
        <w:t>[-1, 1] &amp; if  _j = 0</w:t>
      </w:r>
    </w:p>
    <w:p>
      <w:r>
        <w:t>To derive the coordinate descent update rule for feature j, assume that the columns of X are standardized such that x_j^T x_j = N. Isolate feature j by defining the partial residual vector r^(j) = y - _k  j x_k _k. The unregularized OLS update for _j given fixed _-j is _j^OLS = 1N x_j^T r^(j).</w:t>
      </w:r>
    </w:p>
    <w:p>
      <w:r>
        <w:t>The first-order optimality condition for the ElasticNet objective requires 0  __j L_EN():</w:t>
      </w:r>
    </w:p>
    <w:p>
      <w:r>
        <w:t>-1N x_j^T (y - X) + (1-)_j +   v_j = 0,  where  v_j   |_j|</w:t>
      </w:r>
    </w:p>
    <w:p>
      <w:r>
        <w:t>Substituting y - X = r^(j) - x_j _j and using 1Nx_j^T x_j = 1:</w:t>
      </w:r>
    </w:p>
    <w:p>
      <w:r>
        <w:t>-_j^OLS + _j + (1-)_j +   v_j = 0  _j [ 1 + (1-) ] +   v_j = _j^OLS</w:t>
      </w:r>
    </w:p>
    <w:p>
      <w:r>
        <w:t>Solving Equation (eq:ch3_opt_condition) under three case conditions for _j^OLS:</w:t>
      </w:r>
    </w:p>
    <w:p>
      <w:r>
        <w:t>Case 1: _j &gt; 0. Here v_j = +1. Equation (eq:ch3_opt_condition) gives _j [1 + (1-)] = _j^OLS -  , requiring _j^OLS &gt;  . Thus:</w:t>
      </w:r>
    </w:p>
    <w:p>
      <w:r>
        <w:t>_j^* = _j^OLS -  1 + (1-)</w:t>
      </w:r>
    </w:p>
    <w:p>
      <w:r>
        <w:t>Case 2: _j &lt; 0. Here v_j = -1. Equation (eq:ch3_opt_condition) gives _j [1 + (1-)] = _j^OLS +  , requiring _j^OLS &lt; - . Thus:</w:t>
      </w:r>
    </w:p>
    <w:p>
      <w:r>
        <w:t>_j^* = _j^OLS +  1 + (1-)</w:t>
      </w:r>
    </w:p>
    <w:p>
      <w:r>
        <w:t>Case 3: _j = 0. Here v_j  [-1, 1]. Equation (eq:ch3_opt_condition) requires |_j^OLS|   . Thus, _j^* = 0.</w:t>
      </w:r>
    </w:p>
    <w:p>
      <w:r>
        <w:t>Combining these cases yields the closed-form Soft-Thresholding Operator S_(z) = sign(z) (0, |z| - ):</w:t>
      </w:r>
    </w:p>
    <w:p>
      <w:r>
        <w:t>_j^EN = S_ ( _j^OLS )1 +  (1-)</w:t>
      </w:r>
    </w:p>
    <w:p>
      <w:r>
        <w:t>Setting  = 1.0 yields the standard LASSO soft-thresholded estimator _j^LASSO = S_( _j^OLS ), which sets coefficients to zero whenever |_j^OLS|  , performing feature selection.</w:t>
      </w:r>
    </w:p>
    <w:p>
      <w:r>
        <w:t>Ridge (L_2) Shrinkage Bounds \&amp; SVD Derivation</w:t>
      </w:r>
    </w:p>
    <w:p>
      <w:r>
        <w:t>For Ridge regression ( = 0), the objective function is smooth and differentiable. Differentiating L_Ridge() with respect to  yields the closed-form Ridge estimator:</w:t>
      </w:r>
    </w:p>
    <w:p>
      <w:r>
        <w:t>_Ridge = ( X^T X + N  I_P )^-1 X^T y</w:t>
      </w:r>
    </w:p>
    <w:p>
      <w:r>
        <w:t>To derive L_2 shrinkage bounds, consider the Singular Value Decomposition (SVD) of the centered design matrix X = U  V^T, where U  R^N  P and V  R^P  P are orthonormal matrices (U^T U = I_P, V^T V = I_P), and  = diag(_1, _2, , _P) contains the singular values _1  _2    _P &gt; 0.</w:t>
      </w:r>
    </w:p>
    <w:p>
      <w:r>
        <w:t>Substituting the SVD into the standard OLS estimator _OLS = (X^T X)^-1 X^T y:</w:t>
      </w:r>
    </w:p>
    <w:p>
      <w:r>
        <w:t>_OLS = ( V ^2 V^T )^-1 V  U^T y = V ^-1 U^T y</w:t>
      </w:r>
    </w:p>
    <w:p>
      <w:r>
        <w:t>Substituting the SVD into the Ridge estimator Equation (eq:ch3_ridge_closed_form):</w:t>
      </w:r>
    </w:p>
    <w:p>
      <w:r>
        <w:t>_Ridge &amp;= ( V ^2 V^T + N  V I_P V^T )^-1 V  U^T y \\</w:t>
      </w:r>
    </w:p>
    <w:p>
      <w:r>
        <w:t>&amp;= ( V [ ^2 + N  I_P ] V^T )^-1 V  U^T y \\</w:t>
      </w:r>
    </w:p>
    <w:p>
      <w:r>
        <w:t>&amp;= V ( ^2 + N  I_P )^-1  U^T y</w:t>
      </w:r>
    </w:p>
    <w:p>
      <w:r>
        <w:t>Expressing _Ridge directly as a transformation of the unregularized OLS estimator _OLS:</w:t>
      </w:r>
    </w:p>
    <w:p>
      <w:r>
        <w:t>_Ridge &amp;= V ( ^2 + N  I_P )^-1 ^2 ^-1 U^T y \\</w:t>
      </w:r>
    </w:p>
    <w:p>
      <w:r>
        <w:t>&amp;= V diag( _j^2_j^2 + N  ) V^T _OLS</w:t>
      </w:r>
    </w:p>
    <w:p>
      <w:r>
        <w:t>Because N  &gt; 0 and _j^2 &gt; 0, the shrinkage factor satisfies:</w:t>
      </w:r>
    </w:p>
    <w:p>
      <w:r>
        <w:t>0 &lt; _j^2_j^2 + N  &lt; 1,   j  \1, , P\</w:t>
      </w:r>
    </w:p>
    <w:p>
      <w:r>
        <w:t>This shows that Ridge regression shrinks the OLS parameter vector along the principal component directions of X, with greater shrinkage applied to components with smaller singular values _j^2. Consequently, \|_Ridge\|_2 &lt; \|_OLS\|_2 for all  &gt; 0, bounding parameter variance and stabilizing prediction under collinearity.</w:t>
      </w:r>
    </w:p>
    <w:p>
      <w:pPr>
        <w:spacing w:before="160" w:after="80"/>
        <w:ind w:firstLine="0"/>
      </w:pPr>
      <w:r>
        <w:rPr>
          <w:rFonts w:ascii="Times New Roman" w:hAnsi="Times New Roman"/>
          <w:b/>
          <w:sz w:val="24"/>
        </w:rPr>
        <w:t>Non-Linear Tree Ensembles: Random Forest \&amp; XGBoost</w:t>
      </w:r>
    </w:p>
    <w:p>
      <w:r>
        <w:t>Decision tree ensembles map high-dimensional characteristic spaces into predicted returns by partitioning features into hyper-rectangular regions (gu2020empirical).</w:t>
      </w:r>
    </w:p>
    <w:p>
      <w:r>
        <w:t>Random Forest Bagging Variance Reduction Proof</w:t>
      </w:r>
    </w:p>
    <w:p>
      <w:r>
        <w:t>The Random Forest regressor (breiman2001random) constructs an ensemble of M decorrelated decision trees \T_1(x), T_2(x), , T_M(x)\, each trained on a bootstrap sample of size N with randomized feature subspace selection (m_try =  P ). The ensemble prediction is the average:</w:t>
      </w:r>
    </w:p>
    <w:p>
      <w:r>
        <w:t>f_RF(x) = 1M _m=1^M T_m(x)</w:t>
      </w:r>
    </w:p>
    <w:p>
      <w:r>
        <w:t>Assume each individual tree T_m(x) is identically distributed with variance Var(T_m(x)) = ^2, and that any pair of distinct trees (T_m, T_l) for m  l has pairwise correlation Corr(T_m(x), T_l(x)) = .</w:t>
      </w:r>
    </w:p>
    <w:p>
      <w:r>
        <w:t>Compute the variance of the ensemble estimator f_RF(x):</w:t>
      </w:r>
    </w:p>
    <w:p>
      <w:r>
        <w:t>Var( f_RF(x) ) &amp;= Var( 1M _m=1^M T_m(x) ) \\</w:t>
      </w:r>
    </w:p>
    <w:p>
      <w:r>
        <w:t>&amp;= 1M^2 [ _m=1^M Var(T_m(x)) + _m=1^M _l  m^M Cov(T_m(x), T_l(x)) ]</w:t>
      </w:r>
    </w:p>
    <w:p>
      <w:r>
        <w:t>Substitute Var(T_m(x)) = ^2 and Cov(T_m(x), T_l(x)) =  ^2:</w:t>
      </w:r>
    </w:p>
    <w:p>
      <w:r>
        <w:t>Var( f_RF(x) ) &amp;= 1M^2 [ M ^2 + M(M-1)  ^2 ] \\</w:t>
      </w:r>
    </w:p>
    <w:p>
      <w:r>
        <w:t>&amp;= ^2M + M-1M  ^2 =  ^2 + 1 - M ^2</w:t>
      </w:r>
    </w:p>
    <w:p>
      <w:r>
        <w:t>Taking the limit as the number of trees M  :</w:t>
      </w:r>
    </w:p>
    <w:p>
      <w:r>
        <w:t>_M   Var( f_RF(x) ) =  ^2</w:t>
      </w:r>
    </w:p>
    <w:p>
      <w:r>
        <w:t>Equation (eq:ch3_var_rf_final) demonstrates the variance-reduction mechanism of Random Forest:</w:t>
      </w:r>
    </w:p>
    <w:p>
      <w:r>
        <w:t>Bagging (bootstrap aggregation) reduces the term 1-M ^2 toward zero as the ensemble size M increases.</w:t>
      </w:r>
    </w:p>
    <w:p>
      <w:r>
        <w:t>Random Feature Subspace Selection reduces inter-tree correlation , lowering the variance floor  ^2.</w:t>
      </w:r>
    </w:p>
    <w:p>
      <w:r>
        <w:t>XGBoost Second-Order Taylor Expansion Loss Optimization</w:t>
      </w:r>
    </w:p>
    <w:p>
      <w:r>
        <w:t>Extreme Gradient Boosting (XGBoost) (chen2016xgboost) builds an additive model of M decision trees sequentially: y_i^(m) = y_i^(m-1) + f_m(x_i). At step m, the regularized objective function to minimize is:</w:t>
      </w:r>
    </w:p>
    <w:p>
      <w:r>
        <w:t>L^(m) = _i=1^N l( y_i, y_i^(m-1) + f_m(x_i) ) + (f_m)</w:t>
      </w:r>
    </w:p>
    <w:p>
      <w:r>
        <w:t>where l(, ) is a differentiable convex loss function, and the tree complexity regularization term (f_m) is defined for a tree with T leaf nodes and leaf weight vector w = [w_1, , w_T]^T  R^T as:</w:t>
      </w:r>
    </w:p>
    <w:p>
      <w:r>
        <w:t>(f_m) =  T + 12  \|w\|_2^2 =  T + 12  _j=1^T w_j^2</w:t>
      </w:r>
    </w:p>
    <w:p>
      <w:r>
        <w:t>Applying a second-order Taylor expansion to the loss function around the previous iteration forecast y_i^(m-1):</w:t>
      </w:r>
    </w:p>
    <w:p>
      <w:r>
        <w:t>l( y_i, y_i^(m-1) + f_m(x_i) )  l( y_i, y_i^(m-1) ) + g_i f_m(x_i) + 12 h_i f_m(x_i)^2</w:t>
      </w:r>
    </w:p>
    <w:p>
      <w:r>
        <w:t>where the first-order gradient g_i and second-order Hessian h_i are defined as:</w:t>
      </w:r>
    </w:p>
    <w:p>
      <w:r>
        <w:t>g_i =  l( y_i, y_i^(m-1) ) y_i^(m-1),  h_i = ^2 l( y_i, y_i^(m-1) ) (y_i^(m-1))^2</w:t>
      </w:r>
    </w:p>
    <w:p>
      <w:r>
        <w:t>Removing constant terms l(y_i, y_i^(m-1)) independent of tree structure f_m, the simplified objective at step m becomes:</w:t>
      </w:r>
    </w:p>
    <w:p>
      <w:r>
        <w:t>L^(m) = _i=1^N [ g_i f_m(x_i) + 12 h_i f_m(x_i)^2 ] +  T + 12  _j=1^T w_j^2</w:t>
      </w:r>
    </w:p>
    <w:p>
      <w:r>
        <w:t>Let I_j = \i  q(x_i) = j\ represent the instance set mapped to leaf node j by structure mapping function q: R^P  \1, , T\. Rewriting the summation across individual samples i as a summation over leaf nodes j:</w:t>
      </w:r>
    </w:p>
    <w:p>
      <w:r>
        <w:t>L^(m) = _j=1^T [ ( _i  I_j g_i ) w_j + 12 ( _i  I_j h_i +  ) w_j^2 ] +  T</w:t>
      </w:r>
    </w:p>
    <w:p>
      <w:r>
        <w:t>Define aggregate leaf gradient G_j = _i  I_j g_i and aggregate leaf Hessian H_j = _i  I_j h_i:</w:t>
      </w:r>
    </w:p>
    <w:p>
      <w:r>
        <w:t>L^(m) = _j=1^T [ G_j w_j + 12 (H_j + ) w_j^2 ] +  T</w:t>
      </w:r>
    </w:p>
    <w:p>
      <w:r>
        <w:t>Taking the partial derivative of L^(m) with respect to weight w_j and setting it to zero yields the optimal weight w_j^* for leaf j:</w:t>
      </w:r>
    </w:p>
    <w:p>
      <w:r>
        <w:t>L^(m) w_j = G_j + (H_j + ) w_j = 0  w_j^* = -G_jH_j +</w:t>
      </w:r>
    </w:p>
    <w:p>
      <w:r>
        <w:t>Substituting w_j^* back into the objective yields the minimized loss value (tree structure quality score):</w:t>
      </w:r>
    </w:p>
    <w:p>
      <w:r>
        <w:t>L^(m)* = -12 _j=1^T G_j^2H_j +  +  T</w:t>
      </w:r>
    </w:p>
    <w:p>
      <w:r>
        <w:t>When evaluating candidate node splits during tree construction, the gain score for splitting a node into left instance subset I_L and right instance subset I_R is evaluated as:</w:t>
      </w:r>
    </w:p>
    <w:p>
      <w:r>
        <w:t>Gain = 12 [ G_L^2H_L +  + G_R^2H_R +  - (G_L + G_R)^2H_L + H_R +  ] -</w:t>
      </w:r>
    </w:p>
    <w:p>
      <w:r>
        <w:t>where  acts as a penalty threshold requiring the improvement in loss reduction to exceed  before authorizing a node split.</w:t>
      </w:r>
    </w:p>
    <w:p>
      <w:pPr>
        <w:spacing w:before="160" w:after="80"/>
        <w:ind w:firstLine="0"/>
      </w:pPr>
      <w:r>
        <w:rPr>
          <w:rFonts w:ascii="Times New Roman" w:hAnsi="Times New Roman"/>
          <w:b/>
          <w:sz w:val="24"/>
        </w:rPr>
        <w:t>Baseline Sequence Encoder: PyTorch LSTM</w:t>
      </w:r>
    </w:p>
    <w:p>
      <w:r>
        <w:t>To encode temporal patterns across a sequential lookback window of T = 20 trading days, I use a multi-layer Long Short-Term Memory (LSTM) network (hochreiter1997long).</w:t>
      </w:r>
    </w:p>
    <w:p>
      <w:r>
        <w:t>For input vector x_t  R^d_in at sequence step t  \1, , T\, previous hidden state h_t-1  R^D, and previous cell state c_t-1  R^D, the PyTorch LSTM cell equations are formulated as:</w:t>
      </w:r>
    </w:p>
    <w:p>
      <w:r>
        <w:t>i_t &amp;= ( W_xi x_t + W_hi h_t-1 + b_ii + b_hi )  &amp;&amp;(Input Gate)  \\</w:t>
      </w:r>
    </w:p>
    <w:p>
      <w:r>
        <w:t>f_t &amp;= ( W_xf x_t + W_hf h_t-1 + b_if + b_hf )  &amp;&amp;(Forget Gate)  \\</w:t>
      </w:r>
    </w:p>
    <w:p>
      <w:r>
        <w:t>o_t &amp;= ( W_xo x_t + W_ho h_t-1 + b_io + b_ho )  &amp;&amp;(Output Gate)  \\</w:t>
      </w:r>
    </w:p>
    <w:p>
      <w:r>
        <w:t>c_t &amp;= ( W_xc x_t + W_hc h_t-1 + b_ic + b_hc )  &amp;&amp;(Cell Candidate)  \\</w:t>
      </w:r>
    </w:p>
    <w:p>
      <w:r>
        <w:t>c_t &amp;= f_t  c_t-1 + i_t  c_t  &amp;&amp;(Cell State Update)  \\</w:t>
      </w:r>
    </w:p>
    <w:p>
      <w:r>
        <w:t>h_t &amp;= o_t  (c_t)  &amp;&amp;(Hidden State Output)</w:t>
      </w:r>
    </w:p>
    <w:p>
      <w:r>
        <w:t>where (z) = (1 + e^-z)^-1 is the element-wise logistic sigmoid function, (z) = e^z - e^-ze^z + e^-z is the hyperbolic tangent activation, and  represents the Hadamard (element-wise) product. Weight matrices W_x  R^D  d_in, W_h  R^D  D, and bias vectors b_  R^D represent trainable parameters.</w:t>
      </w:r>
    </w:p>
    <w:p>
      <w:r>
        <w:t>The linear cell state update c_t = f_t  c_t-1 + i_t  c_t provides a constant error carousel. The partial Jacobian  c_t c_t-1 = diag(f_t) helps mitigate vanishing gradients over temporal sequences when the forget gate is active (f_t  1). The final hidden state h_T summarizes the sequence and is mapped via a linear projection head to yield predictions y_i, t+1 = w_y^T h_T + b_y.</w:t>
      </w:r>
    </w:p>
    <w:p>
      <w:pPr>
        <w:spacing w:before="200" w:after="80"/>
        <w:ind w:firstLine="0"/>
      </w:pPr>
      <w:r>
        <w:rPr>
          <w:rFonts w:ascii="Times New Roman" w:hAnsi="Times New Roman"/>
          <w:b/>
          <w:color w:val="0A2240"/>
          <w:sz w:val="28"/>
        </w:rPr>
        <w:t>Custom Architecture: TFDMGA Network</w:t>
      </w:r>
    </w:p>
    <w:p>
      <w:r>
        <w:t>The Temporal Fusion Deep Multimodal Gated Attention (TFDMGA) network is designed to address three limitations of standard models in asset pricing: (1) feature scale and frequency differences across modalities, (2) inter-modal characteristic dependencies, and (3) macroeconomic regime sensitivity.</w:t>
      </w:r>
    </w:p>
    <w:p>
      <w:r>
        <w:t>Figure fig:ch3_tfdmga_arch shows the complete neural network architecture of the TFDMGA model.</w:t>
      </w:r>
    </w:p>
    <w:p>
      <w:r>
        <w:t>scale=0.85, transform shape,</w:t>
      </w:r>
    </w:p>
    <w:p>
      <w:r>
        <w:t>node distance=1.0cm and 1.2cm,</w:t>
      </w:r>
    </w:p>
    <w:p>
      <w:r>
        <w:t>modbox/.style=draw=jpmNavy, fill=jpmLight, rectangle, rounded corners=5pt, align=center, inner sep=6pt, font=, text=jpmNavy, minimum width=2.5cm, minimum height=1.0cm,</w:t>
      </w:r>
    </w:p>
    <w:p>
      <w:r>
        <w:t>tcnbox/.style=draw=jpmGold, fill=white, rectangle, rounded corners=4pt, align=center, inner sep=6pt, font=, text=jpmDark, minimum width=2.5cm, minimum height=0.9cm,</w:t>
      </w:r>
    </w:p>
    <w:p>
      <w:r>
        <w:t>ringbox/.style=draw=jpmNavy, fill=jpmNavy!10!white, rectangle, rounded corners=5pt, align=center, inner sep=6pt, font=, text=jpmNavy, minimum width=8.5cm, minimum height=1.1cm,</w:t>
      </w:r>
    </w:p>
    <w:p>
      <w:r>
        <w:t>gatebox/.style=draw=jpmRed, fill=jpmRed!10!white, rectangle, rounded corners=5pt, align=center, inner sep=6pt, font=, text=jpmRed, minimum width=8.5cm, minimum height=1.1cm,</w:t>
      </w:r>
    </w:p>
    <w:p>
      <w:r>
        <w:t>fusebox/.style=draw=jpmGreen!80!black, fill=jpmGreen!10!white, rectangle, rounded corners=5pt, align=center, inner sep=6pt, font=, text=jpmGreen!80!black, minimum width=8.5cm, minimum height=1.0cm,</w:t>
      </w:r>
    </w:p>
    <w:p>
      <w:r>
        <w:t>headbox/.style=draw=jpmNavy, fill=jpmNavy, rectangle, rounded corners=5pt, align=center, inner sep=6pt, font=, text=white, minimum width=2.4cm, minimum height=0.9cm,</w:t>
      </w:r>
    </w:p>
    <w:p>
      <w:r>
        <w:t>arrow/.style=-Stealth, thick, draw=jpmNavy</w:t>
      </w:r>
    </w:p>
    <w:p>
      <w:r>
        <w:t>(x_tech) [modbox] Raw Technicals\\x_tech  R^B  T  16;</w:t>
      </w:r>
    </w:p>
    <w:p>
      <w:r>
        <w:t>(x_fund) [modbox, right=0.8cm of x_tech] Raw Fundamentals\\x_fund  R^B  T  30;</w:t>
      </w:r>
    </w:p>
    <w:p>
      <w:r>
        <w:t>(x_sent) [modbox, right=0.8cm of x_fund] Raw Sentiment\\x_sent  R^B  T  2;</w:t>
      </w:r>
    </w:p>
    <w:p>
      <w:r>
        <w:t>(x_macro) [modbox, right=0.8cm of x_sent] Raw Macro\\x_macro  R^B  T  5;</w:t>
      </w:r>
    </w:p>
    <w:p>
      <w:r>
        <w:t>(tcn_tech) [tcnbox, below=0.8cm of x_tech] Causal TCN Encoder\\(Dim D = 64);</w:t>
      </w:r>
    </w:p>
    <w:p>
      <w:r>
        <w:t>(tcn_fund) [tcnbox, below=0.8cm of x_fund] Causal TCN Encoder\\(Dim D = 64);</w:t>
      </w:r>
    </w:p>
    <w:p>
      <w:r>
        <w:t>(tcn_sent) [tcnbox, below=0.8cm of x_sent] Causal TCN Encoder\\(Dim D = 64);</w:t>
      </w:r>
    </w:p>
    <w:p>
      <w:r>
        <w:t>(tcn_macro) [tcnbox, below=0.8cm of x_macro] Causal TCN Encoder\\(Dim D = 64);</w:t>
      </w:r>
    </w:p>
    <w:p>
      <w:r>
        <w:t>(ring) [ringbox, below=1.2cm of (tcn_fund.south)!0.5!(tcn_sent.south)]</w:t>
      </w:r>
    </w:p>
    <w:p>
      <w:r>
        <w:t>Sequential Directed Cross-Modal Ring Attention Cascade\\</w:t>
      </w:r>
    </w:p>
    <w:p>
      <w:r>
        <w:t>Technical  Sentiment  Fundamental  Macro  Technical</w:t>
      </w:r>
    </w:p>
    <w:p>
      <w:r>
        <w:t>(gate) [gatebox, below=0.8cm of ring]</w:t>
      </w:r>
    </w:p>
    <w:p>
      <w:r>
        <w:t>3-Way Macro Dynamic Gating Network\\</w:t>
      </w:r>
    </w:p>
    <w:p>
      <w:r>
        <w:t>Temperature-Scaled Softmax Trust Weights: w = [w_tech, w_fund, w_sent],   w_m = 1</w:t>
      </w:r>
    </w:p>
    <w:p>
      <w:r>
        <w:t>(fuse) [fusebox, below=0.8cm of gate]</w:t>
      </w:r>
    </w:p>
    <w:p>
      <w:r>
        <w:t>Residual Fusion \&amp; Pre-LN Transformer Encoder Stack\\</w:t>
      </w:r>
    </w:p>
    <w:p>
      <w:r>
        <w:t>h_fused = w_tech h_tech + w_fund h_fund + w_sent h_sent + Residual FFN</w:t>
      </w:r>
    </w:p>
    <w:p>
      <w:r>
        <w:t>(head21) [headbox, below=1.0cm of fuse] Monthly Head\\y_21d (21-Day Return);</w:t>
      </w:r>
    </w:p>
    <w:p>
      <w:r>
        <w:t>(head1) [headbox, left=0.8cm of head21] Daily Head\\y_1d (1-Day Return);</w:t>
      </w:r>
    </w:p>
    <w:p>
      <w:r>
        <w:t>(head126) [headbox, right=0.8cm of head21] Six-Month Head\\y_126d (126-Day Return);</w:t>
      </w:r>
    </w:p>
    <w:p>
      <w:r>
        <w:t>[arrow] (x_tech) -- (tcn_tech);</w:t>
      </w:r>
    </w:p>
    <w:p>
      <w:r>
        <w:t>[arrow] (x_fund) -- (tcn_fund);</w:t>
      </w:r>
    </w:p>
    <w:p>
      <w:r>
        <w:t>[arrow] (x_sent) -- (tcn_sent);</w:t>
      </w:r>
    </w:p>
    <w:p>
      <w:r>
        <w:t>[arrow] (x_macro) -- (tcn_macro);</w:t>
      </w:r>
    </w:p>
    <w:p>
      <w:r>
        <w:t>[arrow] (tcn_tech) -- (ring.north -| tcn_tech);</w:t>
      </w:r>
    </w:p>
    <w:p>
      <w:r>
        <w:t>[arrow] (tcn_fund) -- (ring.north -| tcn_fund);</w:t>
      </w:r>
    </w:p>
    <w:p>
      <w:r>
        <w:t>[arrow] (tcn_sent) -- (ring.north -| tcn_sent);</w:t>
      </w:r>
    </w:p>
    <w:p>
      <w:r>
        <w:t>[arrow] (tcn_macro) -- (ring.north -| tcn_macro);</w:t>
      </w:r>
    </w:p>
    <w:p>
      <w:r>
        <w:t>[arrow] (ring) -- (gate);</w:t>
      </w:r>
    </w:p>
    <w:p>
      <w:r>
        <w:t>[arrow] (gate) -- (fuse);</w:t>
      </w:r>
    </w:p>
    <w:p>
      <w:r>
        <w:t>[arrow] (fuse.south -| head1) -- (head1);</w:t>
      </w:r>
    </w:p>
    <w:p>
      <w:r>
        <w:t>[arrow] (fuse.south -| head21) -- (head21);</w:t>
      </w:r>
    </w:p>
    <w:p>
      <w:r>
        <w:t>[arrow] (fuse.south -| head126) -- (head126);</w:t>
      </w:r>
    </w:p>
    <w:p>
      <w:r>
        <w:t>Architecture Diagram of the Temporal Fusion Deep Multimodal Gated Attention (TFDMGA) Network</w:t>
      </w:r>
    </w:p>
    <w:p>
      <w:pPr>
        <w:spacing w:before="160" w:after="80"/>
        <w:ind w:firstLine="0"/>
      </w:pPr>
      <w:r>
        <w:rPr>
          <w:rFonts w:ascii="Times New Roman" w:hAnsi="Times New Roman"/>
          <w:b/>
          <w:sz w:val="24"/>
        </w:rPr>
        <w:t>Temporal Feature Encoding via Causal 1D Dilated TCN</w:t>
      </w:r>
    </w:p>
    <w:p>
      <w:r>
        <w:t>Financial input features are partitioned into four distinct modalities: Technical Signals (x_tech  R^B  T  16), Fundamental Metrics (x_fund  R^B  T  30), Sentiment Scores (x_sent  R^B  T  2), and Macroeconomic Series (x_macro  R^B  T  5).</w:t>
      </w:r>
    </w:p>
    <w:p>
      <w:r>
        <w:t>Each modality sequence is processed by a Causal 1D Dilated Temporal Convolutional Network (TCN) encoder (bai2018empirical).</w:t>
      </w:r>
    </w:p>
    <w:p>
      <w:r>
        <w:t>Let x_m(t)  R^C_in denote the input vector for modality m at sequence step t  \1, , T\. A 1D dilated convolution with kernel filter f: \0, , K-1\  R^C_out  C_in and dilation factor d is formulated as:</w:t>
      </w:r>
    </w:p>
    <w:p>
      <w:r>
        <w:t>(y *_d f)(t) = _k=0^K-1 f(k)  x_m(t - d  k)</w:t>
      </w:r>
    </w:p>
    <w:p>
      <w:r>
        <w:t>Causality is enforced by zero-padding the sequence leftward by (K-1)  d steps, ensuring that output (y *_d f)(t) depends solely on historical entries x_m(t - d  k) for k  0, eliminating lookahead leakage.</w:t>
      </w:r>
    </w:p>
    <w:p>
      <w:r>
        <w:t>Derivation of Receptive Field Expansion</w:t>
      </w:r>
    </w:p>
    <w:p>
      <w:r>
        <w:t>For a stacked TCN network consisting of L dilated convolutional layers with fixed kernel size K and layer-specific dilation factors d_l for l  \0, 1, , L-1\:</w:t>
      </w:r>
    </w:p>
    <w:p>
      <w:r>
        <w:t>At layer l=0, a single convolutional filter covers K temporal steps. Each additional layer l expands the effective receptive field by (K-1) d_l steps.</w:t>
      </w:r>
    </w:p>
    <w:p>
      <w:r>
        <w:t>The cumulative temporal receptive field R across L stacked layers is:</w:t>
      </w:r>
    </w:p>
    <w:p>
      <w:r>
        <w:t>R &amp;= 1 + _l=0^L-1 (K - 1) d_l</w:t>
      </w:r>
    </w:p>
    <w:p>
      <w:r>
        <w:t>In my architecture, dilation factors grow exponentially with base 2: d_l = 2^l for l  \0, 1, , L-1\. Substituting d_l = 2^l:</w:t>
      </w:r>
    </w:p>
    <w:p>
      <w:r>
        <w:t>R &amp;= 1 + (K - 1) _l=0^L-1 2^l</w:t>
      </w:r>
    </w:p>
    <w:p>
      <w:r>
        <w:t>Applying the geometric series summation formula _l=0^L-1 2^l = 2^L - 1:</w:t>
      </w:r>
    </w:p>
    <w:p>
      <w:r>
        <w:t>R &amp;= 1 + (K - 1)(2^L - 1)</w:t>
      </w:r>
    </w:p>
    <w:p>
      <w:r>
        <w:t>For my model configuration with kernel size K = 3 and L = 3 layers with dilations d  \1, 2, 4\:</w:t>
      </w:r>
    </w:p>
    <w:p>
      <w:r>
        <w:t>R = 1 + (3 - 1)(2^3 - 1) = 1 + 2(7) = 15  trading days</w:t>
      </w:r>
    </w:p>
    <w:p>
      <w:r>
        <w:t>This shows that a 3-layer TCN stack with K=3 covers 15 trading days of temporal context without loss of resolution. The output latent representation for each modality m is projected to dimension D = 64: H_m  R^B  T  D.</w:t>
      </w:r>
    </w:p>
    <w:p>
      <w:pPr>
        <w:spacing w:before="160" w:after="80"/>
        <w:ind w:firstLine="0"/>
      </w:pPr>
      <w:r>
        <w:rPr>
          <w:rFonts w:ascii="Times New Roman" w:hAnsi="Times New Roman"/>
          <w:b/>
          <w:sz w:val="24"/>
        </w:rPr>
        <w:t>Sequential Directed Ring Attention Cascade</w:t>
      </w:r>
    </w:p>
    <w:p>
      <w:r>
        <w:t>To capture inter-modal cross-attentive dependencies without generating O(M^2) combinatorial explosion across M=4 modalities, TFDMGA structures multi-modal cross-attention into a Sequential Directed Ring Attention Cascade:</w:t>
      </w:r>
    </w:p>
    <w:p>
      <w:r>
        <w:t>Technical  Sentiment  Fundamental  Macro  Technical</w:t>
      </w:r>
    </w:p>
    <w:p>
      <w:r>
        <w:t>For any directed cross-modal pair where target modality representation H_B is updated by source modality representation H_A:</w:t>
      </w:r>
    </w:p>
    <w:p>
      <w:r>
        <w:t>First, Query (Q_B), Key (K_A), and Value (V_A) tensors are linearly projected using weight matrices W_Q, W_K, W_V  R^D  D:</w:t>
      </w:r>
    </w:p>
    <w:p>
      <w:r>
        <w:t>Q_B = H_B W_Q,  K_A = H_A W_K,  V_A = H_A W_V</w:t>
      </w:r>
    </w:p>
    <w:p>
      <w:r>
        <w:t>Multi-Head Cross-Attention across h=4 parallel attention heads (head dimension d_k = D/h = 16) is computed as:</w:t>
      </w:r>
    </w:p>
    <w:p>
      <w:r>
        <w:t>Head_i(Q_B, K_A, V_A) = softmax( Q_B,i K_A,i^Td_k ) V_A,i</w:t>
      </w:r>
    </w:p>
    <w:p>
      <w:r>
        <w:t>MultiHead(Q_B, K_A, V_A) = [ Head_1 ; Head_2 ; Head_3 ; Head_4 ] W_O</w:t>
      </w:r>
    </w:p>
    <w:p>
      <w:r>
        <w:t>where W_O  R^D  D.</w:t>
      </w:r>
    </w:p>
    <w:p>
      <w:r>
        <w:t>The updated target representation H_B incorporates a residual skip connection followed by Pre-Layer Normalization (Pre-LN):</w:t>
      </w:r>
    </w:p>
    <w:p>
      <w:r>
        <w:t>H_B = LayerNorm( H_B + MultiHead( &amp;LayerNorm(H_B), \\</w:t>
      </w:r>
    </w:p>
    <w:p>
      <w:r>
        <w:t>&amp;LayerNorm(H_A), LayerNorm(H_A) ) )</w:t>
      </w:r>
    </w:p>
    <w:p>
      <w:r>
        <w:t>Sequential execution around the directed ring cascade produces cross-attentively refined latent matrices for all modalities: H_tech, H_fund, H_sent, H_macro  R^B  T  D.</w:t>
      </w:r>
    </w:p>
    <w:p>
      <w:pPr>
        <w:spacing w:before="160" w:after="80"/>
        <w:ind w:firstLine="0"/>
      </w:pPr>
      <w:r>
        <w:rPr>
          <w:rFonts w:ascii="Times New Roman" w:hAnsi="Times New Roman"/>
          <w:b/>
          <w:sz w:val="24"/>
        </w:rPr>
        <w:t>3-Way Macro Dynamic Gating Network</w:t>
      </w:r>
    </w:p>
    <w:p>
      <w:r>
        <w:t>The market regime dynamic gating network computes time-varying trust weights w = [w_tech, w_fund, w_sent]^T conditioned on ambient macroeconomic environment features.</w:t>
      </w:r>
    </w:p>
    <w:p>
      <w:r>
        <w:t>Let H_macro  R^B  T  D denote the macro representation. Average pooling across sequence length T yields global macro state vector h_macro = 1T _t=1^T H_macro(t)  R^D.</w:t>
      </w:r>
    </w:p>
    <w:p>
      <w:r>
        <w:t>Raw modality trust scores s = [s_tech, s_fund, s_sent]^T  R^3 are computed via a 2-layer Multi-Layer Perceptron (MLP) with ReLU non-linear activation:</w:t>
      </w:r>
    </w:p>
    <w:p>
      <w:r>
        <w:t>s = W_g2  ReLU( W_g1 h_macro + b_g1 ) + b_g2</w:t>
      </w:r>
    </w:p>
    <w:p>
      <w:r>
        <w:t>where W_g1  R^(D/2)  D, b_g1  R^D/2, W_g2  R^3  (D/2), and b_g2  R^3.</w:t>
      </w:r>
    </w:p>
    <w:p>
      <w:r>
        <w:t>Dynamic trust weights w_m for modality m  \tech, fund, sent\ are derived using temperature-scaled softmax activation:</w:t>
      </w:r>
    </w:p>
    <w:p>
      <w:r>
        <w:t>w_m = (s_m / )_j  \tech, fund, sent\ (s_j / )</w:t>
      </w:r>
    </w:p>
    <w:p>
      <w:r>
        <w:t>where  &gt; 0 is the temperature hyperparameter ( = 0.50).</w:t>
      </w:r>
    </w:p>
    <w:p>
      <w:r>
        <w:t>The temperature-scaled softmax mechanism satisfies two boundary conditions:</w:t>
      </w:r>
    </w:p>
    <w:p>
      <w:r>
        <w:t>Probability Simplex Constraint: By construction, w_m &gt; 0 and _m w_m = 1.</w:t>
      </w:r>
    </w:p>
    <w:p>
      <w:r>
        <w:t>High-Temperature Limit (  ):</w:t>
      </w:r>
    </w:p>
    <w:p>
      <w:r>
        <w:t>_   w_m &amp;= _   (s_m / )_j=1^3 (s_j / ) = (0)_j=1^3 (0) = 13</w:t>
      </w:r>
    </w:p>
    <w:p>
      <w:r>
        <w:t>As   , modality weights converge to a uniform distribution, assigning equal trust across modalities.</w:t>
      </w:r>
    </w:p>
    <w:p>
      <w:r>
        <w:t>Low-Temperature Limit (  0^+): Let m^* = _j s_j. Assuming a unique maximum:</w:t>
      </w:r>
    </w:p>
    <w:p>
      <w:r>
        <w:t>_  0^+ w_m &amp;= _  0^+ ((s_m - s_m^*) / )_j=1^3 ((s_j - s_m^*) / ) = cases</w:t>
      </w:r>
    </w:p>
    <w:p>
      <w:r>
        <w:t>1 &amp; if  m = m^* \\</w:t>
      </w:r>
    </w:p>
    <w:p>
      <w:r>
        <w:t>0 &amp; if  m  m^*</w:t>
      </w:r>
    </w:p>
    <w:p>
      <w:r>
        <w:t>As   0^+, the gating network approaches a deterministic argmax selection (one-hot routing).</w:t>
      </w:r>
    </w:p>
    <w:p>
      <w:r>
        <w:t>Setting  = 0.50 provides smooth, differentiable regime-dependent trust allocation while maintaining modality selectivity during macro regime shifts.</w:t>
      </w:r>
    </w:p>
    <w:p>
      <w:pPr>
        <w:spacing w:before="160" w:after="80"/>
        <w:ind w:firstLine="0"/>
      </w:pPr>
      <w:r>
        <w:rPr>
          <w:rFonts w:ascii="Times New Roman" w:hAnsi="Times New Roman"/>
          <w:b/>
          <w:sz w:val="24"/>
        </w:rPr>
        <w:t>Residual Fusion Block \&amp; Pre-LN Transformer Encoder</w:t>
      </w:r>
    </w:p>
    <w:p>
      <w:r>
        <w:t>The gated modality representations are aggregated via dynamic trust weight convex combination:</w:t>
      </w:r>
    </w:p>
    <w:p>
      <w:r>
        <w:t>H_gated = w_tech H_tech + w_fund H_fund + w_sent H_sent  R^B  T  D</w:t>
      </w:r>
    </w:p>
    <w:p>
      <w:r>
        <w:t>H_gated is fed into a 2-layer Pre-Layer Normalization (Pre-LN) Transformer Encoder stack (vaswani2017attention, xiong2020layer). For layer l  \1, 2\:</w:t>
      </w:r>
    </w:p>
    <w:p>
      <w:r>
        <w:t>Step 1: Pre-LN Multi-Head Self-Attention (MHSA):</w:t>
      </w:r>
    </w:p>
    <w:p>
      <w:r>
        <w:t>Z^(l) = H^(l-1) + MHSA( LayerNorm(H^(l-1)) )</w:t>
      </w:r>
    </w:p>
    <w:p>
      <w:r>
        <w:t>Step 2: Pre-LN Position-wise Feed-Forward Network (FFN) with GELU non-linearity (hendrycks2016gaussian):</w:t>
      </w:r>
    </w:p>
    <w:p>
      <w:r>
        <w:t>H^(l) = Z^(l) + FFN( LayerNorm(Z^(l)) )</w:t>
      </w:r>
    </w:p>
    <w:p>
      <w:r>
        <w:t>where FFN(x) = W_f2  GELU(W_f1 x + b_f1) + b_f2, with expansion dimension d_ff = 4D = 256.</w:t>
      </w:r>
    </w:p>
    <w:p>
      <w:r>
        <w:t>The sequence temporal dimension is pooled using attention pooling to construct the final fused representation vector h_fused  R^B  D.</w:t>
      </w:r>
    </w:p>
    <w:p>
      <w:pPr>
        <w:spacing w:before="160" w:after="80"/>
        <w:ind w:firstLine="0"/>
      </w:pPr>
      <w:r>
        <w:rPr>
          <w:rFonts w:ascii="Times New Roman" w:hAnsi="Times New Roman"/>
          <w:b/>
          <w:sz w:val="24"/>
        </w:rPr>
        <w:t>Multi-Task Multi-Head Objective Function</w:t>
      </w:r>
    </w:p>
    <w:p>
      <w:r>
        <w:t>TFDMGA simultaneously forecasts stock returns across three investment horizons: Daily (h=1d), Monthly (h=21d), and Six-Month (h=126d). Three linear projection heads map h_fused to target return forecasts:</w:t>
      </w:r>
    </w:p>
    <w:p>
      <w:r>
        <w:t>y_i,t+h^(h) = w_h^T h_fused, i + b_h,  for  h  \1d, 21d, 126d\</w:t>
      </w:r>
    </w:p>
    <w:p>
      <w:r>
        <w:t>The total model loss is evaluated as a multi-task composite loss function:</w:t>
      </w:r>
    </w:p>
    <w:p>
      <w:r>
        <w:t>L_Total = L_Huber + _rank L_rank + _IC L_IC</w:t>
      </w:r>
    </w:p>
    <w:p>
      <w:r>
        <w:t>where _rank = 0.50 and _IC = 1.0 weight relative ranking and correlation alignment.</w:t>
      </w:r>
    </w:p>
    <w:p>
      <w:r>
        <w:t>Component 1: Smooth L_1 Huber Loss</w:t>
      </w:r>
    </w:p>
    <w:p>
      <w:r>
        <w:t>To provide robustness against fat-tailed stock return outliers, point prediction accuracy is optimized using Smooth L_1 Huber Loss (threshold  = 1.0):</w:t>
      </w:r>
    </w:p>
    <w:p>
      <w:r>
        <w:t>L_Huber(y, y) = 1N _i=1^N cases</w:t>
      </w:r>
    </w:p>
    <w:p>
      <w:r>
        <w:t>12 (y_i - y_i)^2 &amp; if  |y_i - y_i|   \\</w:t>
      </w:r>
    </w:p>
    <w:p>
      <w:r>
        <w:t>|y_i - y_i| - 12^2 &amp; otherwise</w:t>
      </w:r>
    </w:p>
    <w:p>
      <w:r>
        <w:t>Component 2: Soft Margin Pairwise Ranking Loss</w:t>
      </w:r>
    </w:p>
    <w:p>
      <w:r>
        <w:t>To directly optimize cross-sectional asset ranking performance for portfolio construction:</w:t>
      </w:r>
    </w:p>
    <w:p>
      <w:r>
        <w:t>L_rank = 1|P| _(i,j)  P ( 0, -sign(y_i - y_j)(y_i - y_j) + _margin )</w:t>
      </w:r>
    </w:p>
    <w:p>
      <w:r>
        <w:t>where P = \(i,j)  i  j\ is the set of cross-sectional asset pairs, and _margin = 0.10 is the ranking margin threshold.</w:t>
      </w:r>
    </w:p>
    <w:p>
      <w:r>
        <w:t>Component 3: Differentiable Pearson Information Coefficient (IC) Loss</w:t>
      </w:r>
    </w:p>
    <w:p>
      <w:r>
        <w:t>To maximize cross-sectional rank correlation directly during backpropagation, I formulate a differentiable Pearson IC loss:</w:t>
      </w:r>
    </w:p>
    <w:p>
      <w:r>
        <w:t>L_IC = 1 - (y, y) = 1 - _i=1^N (y_i - y)(y_i - y) _i=1^N (y_i - y)^2 _i=1^N (y_i - y)^2</w:t>
      </w:r>
    </w:p>
    <w:p>
      <w:r>
        <w:t>where y = 1N_i y_i and y = 1N_i y_i. Minimizing L_IC directly maximizes the Information Coefficient (y, y), aligning model parameter gradients with cross-sectional signal strength.</w:t>
      </w:r>
    </w:p>
    <w:p>
      <w:pPr>
        <w:spacing w:before="200" w:after="80"/>
        <w:ind w:firstLine="0"/>
      </w:pPr>
      <w:r>
        <w:rPr>
          <w:rFonts w:ascii="Times New Roman" w:hAnsi="Times New Roman"/>
          <w:b/>
          <w:color w:val="0A2240"/>
          <w:sz w:val="28"/>
        </w:rPr>
        <w:t>Cross-Validation \&amp; Walk-Forward Evaluation Scheme</w:t>
      </w:r>
    </w:p>
    <w:p>
      <w:r>
        <w:t>To eliminate backtest overfitting and lookahead contamination, model training and out-of-sample evaluation follow a 5-Fold Expanding-Window Walk-Forward Scheme spanning 2015 through 2024 (lopez2018advances).</w:t>
      </w:r>
    </w:p>
    <w:p>
      <w:r>
        <w:t>Figure fig:ch3_walk_forward_scheme presents the expanding-window walk-forward validation structure.</w:t>
      </w:r>
    </w:p>
    <w:p>
      <w:r>
        <w:t>scale=0.9, transform shape,</w:t>
      </w:r>
    </w:p>
    <w:p>
      <w:r>
        <w:t>trainbox/.style=draw=jpmNavy, fill=jpmNavy!20!white, rectangle, inner sep=4pt, font=, text=jpmNavy, minimum height=0.6cm,</w:t>
      </w:r>
    </w:p>
    <w:p>
      <w:r>
        <w:t>valbox/.style=draw=jpmGold, fill=jpmGold!30!white, rectangle, inner sep=4pt, font=, text=jpmDark, minimum height=0.6cm,</w:t>
      </w:r>
    </w:p>
    <w:p>
      <w:r>
        <w:t>testbox/.style=draw=jpmRed, fill=jpmRed!30!white, rectangle, inner sep=4pt, font=, text=jpmRed, minimum height=0.6cm</w:t>
      </w:r>
    </w:p>
    <w:p>
      <w:r>
        <w:t>at (0, 3.5) [font=] 2015;</w:t>
      </w:r>
    </w:p>
    <w:p>
      <w:r>
        <w:t>at (1.5, 3.5) [font=] 2016;</w:t>
      </w:r>
    </w:p>
    <w:p>
      <w:r>
        <w:t>at (3.0, 3.5) [font=] 2017;</w:t>
      </w:r>
    </w:p>
    <w:p>
      <w:r>
        <w:t>at (4.5, 3.5) [font=] 2018;</w:t>
      </w:r>
    </w:p>
    <w:p>
      <w:r>
        <w:t>at (6.0, 3.5) [font=] 2019;</w:t>
      </w:r>
    </w:p>
    <w:p>
      <w:r>
        <w:t>at (7.5, 3.5) [font=, text=jpmRed] 2020;</w:t>
      </w:r>
    </w:p>
    <w:p>
      <w:r>
        <w:t>at (9.0, 3.5) [font=, text=jpmRed] 2021;</w:t>
      </w:r>
    </w:p>
    <w:p>
      <w:r>
        <w:t>at (10.5, 3.5) [font=, text=jpmRed] 2022;</w:t>
      </w:r>
    </w:p>
    <w:p>
      <w:r>
        <w:t>at (12.0, 3.5) [font=, text=jpmRed] 2023;</w:t>
      </w:r>
    </w:p>
    <w:p>
      <w:r>
        <w:t>at (13.5, 3.5) [font=, text=jpmRed] 2024;</w:t>
      </w:r>
    </w:p>
    <w:p>
      <w:r>
        <w:t>at (-1.2, 2.5) [font=] Fold 1:;</w:t>
      </w:r>
    </w:p>
    <w:p>
      <w:r>
        <w:t>(tr1) [trainbox, minimum width=6.0cm] at (2.25, 2.5) In-Sample Train (2015--2018);</w:t>
      </w:r>
    </w:p>
    <w:p>
      <w:r>
        <w:t>(va1) [valbox, minimum width=1.5cm] at (6.0, 2.5) Val (2019);</w:t>
      </w:r>
    </w:p>
    <w:p>
      <w:r>
        <w:t>(te1) [testbox, minimum width=1.5cm] at (7.5, 2.5) OOS 2020;</w:t>
      </w:r>
    </w:p>
    <w:p>
      <w:r>
        <w:t>at (-1.2, 1.8) [font=] Fold 2:;</w:t>
      </w:r>
    </w:p>
    <w:p>
      <w:r>
        <w:t>(tr2) [trainbox, minimum width=7.5cm] at (3.0, 1.8) In-Sample Train (2015--2019);</w:t>
      </w:r>
    </w:p>
    <w:p>
      <w:r>
        <w:t>(va2) [valbox, minimum width=1.5cm] at (7.5, 1.8) Val (2020);</w:t>
      </w:r>
    </w:p>
    <w:p>
      <w:r>
        <w:t>(te2) [testbox, minimum width=1.5cm] at (9.0, 1.8) OOS 2021;</w:t>
      </w:r>
    </w:p>
    <w:p>
      <w:r>
        <w:t>at (-1.2, 1.1) [font=] Fold 3:;</w:t>
      </w:r>
    </w:p>
    <w:p>
      <w:r>
        <w:t>(tr3) [trainbox, minimum width=9.0cm] at (3.75, 1.1) In-Sample Train (2015--2020);</w:t>
      </w:r>
    </w:p>
    <w:p>
      <w:r>
        <w:t>(va3) [valbox, minimum width=1.5cm] at (9.0, 1.1) Val (2021);</w:t>
      </w:r>
    </w:p>
    <w:p>
      <w:r>
        <w:t>(te3) [testbox, minimum width=1.5cm] at (10.5, 1.1) OOS 2022;</w:t>
      </w:r>
    </w:p>
    <w:p>
      <w:r>
        <w:t>at (-1.2, 0.4) [font=] Fold 4:;</w:t>
      </w:r>
    </w:p>
    <w:p>
      <w:r>
        <w:t>(tr4) [trainbox, minimum width=10.5cm] at (4.5, 0.4) In-Sample Train (2015--2021);</w:t>
      </w:r>
    </w:p>
    <w:p>
      <w:r>
        <w:t>(va4) [valbox, minimum width=1.5cm] at (10.5, 0.4) Val (2022);</w:t>
      </w:r>
    </w:p>
    <w:p>
      <w:r>
        <w:t>(te4) [testbox, minimum width=1.5cm] at (12.0, 0.4) OOS 2023;</w:t>
      </w:r>
    </w:p>
    <w:p>
      <w:r>
        <w:t>at (-1.2, -0.3) [font=] Fold 5:;</w:t>
      </w:r>
    </w:p>
    <w:p>
      <w:r>
        <w:t>(tr5) [trainbox, minimum width=12.0cm] at (5.25, -0.3) In-Sample Train (2015--2022);</w:t>
      </w:r>
    </w:p>
    <w:p>
      <w:r>
        <w:t>(va5) [valbox, minimum width=1.5cm] at (12.0, -0.3) Val (2023);</w:t>
      </w:r>
    </w:p>
    <w:p>
      <w:r>
        <w:t>(te5) [testbox, minimum width=1.5cm] at (13.5, -0.3) OOS 2024;</w:t>
      </w:r>
    </w:p>
    <w:p>
      <w:r>
        <w:t>5-Fold Expanding-Window Walk-Forward Validation Protocol (2015--2024)</w:t>
      </w:r>
    </w:p>
    <w:p>
      <w:r>
        <w:t>Each fold expands the in-sample training window by one calendar year while maintaining an isolated 1-year validation block for hyperparameter selection and early stopping, followed by a 1-year testing window:</w:t>
      </w:r>
    </w:p>
    <w:p>
      <w:r>
        <w:t>Fold 1: In-Sample Train (2015--2018), Validation (2019), Out-of-Sample Test (2020).</w:t>
      </w:r>
    </w:p>
    <w:p>
      <w:r>
        <w:t>Fold 2: In-Sample Train (2015--2019), Validation (2020), Out-of-Sample Test (2021).</w:t>
      </w:r>
    </w:p>
    <w:p>
      <w:r>
        <w:t>Fold 3: In-Sample Train (2015--2020), Validation (2021), Out-of-Sample Test (2022).</w:t>
      </w:r>
    </w:p>
    <w:p>
      <w:r>
        <w:t>Fold 4: In-Sample Train (2015--2021), Validation (2022), Out-of-Sample Test (2023).</w:t>
      </w:r>
    </w:p>
    <w:p>
      <w:r>
        <w:t>Fold 5: In-Sample Train (2015--2022), Validation (2023), Out-of-Sample Test (2024).</w:t>
      </w:r>
    </w:p>
    <w:p>
      <w:r>
        <w:t>Combining out-of-sample predictions across test blocks yields a continuous 5-year out-of-sample evaluation period (2020--2024) without lookahead leakage.</w:t>
      </w:r>
    </w:p>
    <w:p>
      <w:pPr>
        <w:spacing w:before="200" w:after="80"/>
        <w:ind w:firstLine="0"/>
      </w:pPr>
      <w:r>
        <w:rPr>
          <w:rFonts w:ascii="Times New Roman" w:hAnsi="Times New Roman"/>
          <w:b/>
          <w:color w:val="0A2240"/>
          <w:sz w:val="28"/>
        </w:rPr>
        <w:t>Hyperparameter Search Space \&amp; Training Setup</w:t>
      </w:r>
    </w:p>
    <w:p>
      <w:r>
        <w:t>Table tab:ch3_hyperparameter_grid summarizes the hyperparameter search spaces and optimal tuned configurations across the model lineup.</w:t>
      </w:r>
    </w:p>
    <w:p>
      <w:r>
        <w:t>Hyperparameter Search Space and Optimal Tuned Parameters Across Models</w:t>
      </w:r>
    </w:p>
    <w:p>
      <w:r>
        <w:t>Model Architecture &amp; Hyperparameter &amp; Search Space / Range &amp; Optimal Parameter Value \\</w:t>
      </w:r>
    </w:p>
    <w:p>
      <w:r>
        <w:t>2*LASSO / ElasticNet &amp; Penalty Intensity () &amp; [10^-5, 10^-1] (log scale) &amp;  = 1.42  10^-3 \\</w:t>
      </w:r>
    </w:p>
    <w:p>
      <w:r>
        <w:t>&amp; ElasticNet Ratio () &amp; [0.0, 1.0] &amp;  = 0.50 (Balanced L_1/L_2) \\</w:t>
      </w:r>
    </w:p>
    <w:p>
      <w:r>
        <w:t>4*Random Forest &amp; Number of Trees (M) &amp; [100, 1000] &amp; M = 500 trees \\</w:t>
      </w:r>
    </w:p>
    <w:p>
      <w:r>
        <w:t>&amp; Max Tree Depth &amp; [3, 15] &amp; Depth = 8 \\</w:t>
      </w:r>
    </w:p>
    <w:p>
      <w:r>
        <w:t>&amp; Feature Subsample Ratio &amp; [0.2, 0.8] &amp; Ratio = 0.40 (Square-root rule) \\</w:t>
      </w:r>
    </w:p>
    <w:p>
      <w:r>
        <w:t>&amp; Min Samples Leaf &amp; [10, 200] &amp; Min Leaf = 50 \\</w:t>
      </w:r>
    </w:p>
    <w:p>
      <w:r>
        <w:t>5*XGBoost &amp; Max Depth &amp; [3, 10] &amp; Depth = 6 \\</w:t>
      </w:r>
    </w:p>
    <w:p>
      <w:r>
        <w:t>&amp; Learning Rate () &amp; [0.005, 0.10] &amp;  = 0.015 \\</w:t>
      </w:r>
    </w:p>
    <w:p>
      <w:r>
        <w:t>&amp; Colsample Bytree &amp; [0.3, 0.9] &amp; Subsample = 0.50 \\</w:t>
      </w:r>
    </w:p>
    <w:p>
      <w:r>
        <w:t>&amp; Reg Alpha (L_1) / Lambda (L_2) &amp; [0.0, 10.0] &amp;  = 1.0,  = 5.0 \\</w:t>
      </w:r>
    </w:p>
    <w:p>
      <w:r>
        <w:t>&amp; Early Stopping Rounds &amp; [20, 100] &amp; 50 rounds (Validation AUC) \\</w:t>
      </w:r>
    </w:p>
    <w:p>
      <w:r>
        <w:t>4*PyTorch LSTM &amp; Hidden Layer Units (D) &amp; [32, 256] &amp; D = 128 hidden units \\</w:t>
      </w:r>
    </w:p>
    <w:p>
      <w:r>
        <w:t>&amp; Sequence Lookback (T) &amp; [5, 60] trading days &amp; T = 20 days (1 month) \\</w:t>
      </w:r>
    </w:p>
    <w:p>
      <w:r>
        <w:t>&amp; Dropout Rate &amp; [0.1, 0.5] &amp; Dropout = 0.20 \\</w:t>
      </w:r>
    </w:p>
    <w:p>
      <w:r>
        <w:t>&amp; Optimizer \&amp; LR &amp; AdamW, [10^-4, 10^-2] &amp; LR = 5.0  10^-4, Weight Decay = 10^-4 \\</w:t>
      </w:r>
    </w:p>
    <w:p>
      <w:r>
        <w:t>6*Custom TFDMGA &amp; Hidden Dimension (D) &amp; [32, 128] &amp; D = 64 channels \\</w:t>
      </w:r>
    </w:p>
    <w:p>
      <w:r>
        <w:t>&amp; TCN Kernel Size \&amp; Dilation &amp; K  [3, 5], d  [1, 2, 4] &amp; K = 3, d  \1, 2, 4\ \\</w:t>
      </w:r>
    </w:p>
    <w:p>
      <w:r>
        <w:t>&amp; Ring Attention Heads &amp; [2, 8] heads &amp; 4 Attention Heads \\</w:t>
      </w:r>
    </w:p>
    <w:p>
      <w:r>
        <w:t>&amp; Dynamic Gate Temp () &amp; [0.1, 2.0] &amp;  = 0.50 (Temperature scaling) \\</w:t>
      </w:r>
    </w:p>
    <w:p>
      <w:r>
        <w:t>&amp; Loss Weights (_rank, _IC) &amp; [0.1, 2.0] &amp; _rank = 0.50, _IC = 1.0 \\</w:t>
      </w:r>
    </w:p>
    <w:p>
      <w:r>
        <w:t>&amp; Training Batch Size &amp; [128, 1024] &amp; Batch Size = 512 (AMP bfloat16) \\</w:t>
      </w:r>
    </w:p>
    <w:p>
      <w:r>
        <w:t>Deep learning models (PyTorch LSTM and TFDMGA) are trained using the AdamW optimizer (loshchilov2018decoupled) with Cosine Annealing learning rate scheduling, Automatic Mixed Precision (bfloat16), batch size 512, and validation early stopping with 15 epochs patience.</w:t>
      </w:r>
    </w:p>
    <w:p>
      <w:pPr>
        <w:spacing w:before="200" w:after="80"/>
        <w:ind w:firstLine="0"/>
      </w:pPr>
      <w:r>
        <w:rPr>
          <w:rFonts w:ascii="Times New Roman" w:hAnsi="Times New Roman"/>
          <w:b/>
          <w:color w:val="0A2240"/>
          <w:sz w:val="28"/>
        </w:rPr>
        <w:t>Computational Complexity and Resource Profile</w:t>
      </w:r>
    </w:p>
    <w:p>
      <w:r>
        <w:t>To assess the computational requirements of training and deploying the TFDMGA architecture, Table tab:ch3_resource_profile documents the model parameter count, FLOPs, memory footprint, and training runtime across hardware configurations.</w:t>
      </w:r>
    </w:p>
    <w:p>
      <w:r>
        <w:t>Computational Complexity, Parameter Count, and Resource Execution Profile</w:t>
      </w:r>
    </w:p>
    <w:p>
      <w:r>
        <w:t>0.9!%</w:t>
      </w:r>
    </w:p>
    <w:p>
      <w:r>
        <w:t>Computational Metric / Resource Dimension &amp; Quantitative Profile / Benchmark Value \\</w:t>
      </w:r>
    </w:p>
    <w:p>
      <w:r>
        <w:t>Target Hardware Configuration &amp; NVIDIA RTX 4090 GPU (24 GB VRAM), 32-Core CPU, 128 GB RAM \\</w:t>
      </w:r>
    </w:p>
    <w:p>
      <w:r>
        <w:t>Total Trainable Parameter Count &amp; 1,248,515 parameters ( 1.25 Million parameters) \\</w:t>
      </w:r>
    </w:p>
    <w:p>
      <w:r>
        <w:t>Floating Point Operations (FLOPs) &amp; 4.82  10^8 FLOPs per forward pass (Batch size = 512) \\</w:t>
      </w:r>
    </w:p>
    <w:p>
      <w:r>
        <w:t>GPU VRAM Memory Peak Footprint &amp; 4.12 GB (AMP bfloat16 mixed precision training) \\</w:t>
      </w:r>
    </w:p>
    <w:p>
      <w:r>
        <w:t>Training Runtime Per Walk-Forward Fold &amp; 14.2 minutes (50 epochs with validation early stopping) \\</w:t>
      </w:r>
    </w:p>
    <w:p>
      <w:r>
        <w:t>Total 5-Fold Walk-Forward Training Time &amp; 71.0 minutes ( 1.18 hours) \\</w:t>
      </w:r>
    </w:p>
    <w:p>
      <w:r>
        <w:t>Inference Latency (Daily Cross-Section) &amp; 4.2 milliseconds per daily panel (N = 500 stocks) \\</w:t>
      </w:r>
    </w:p>
    <w:p>
      <w:r>
        <w:t>The model maintains a compact parameter footprint (1.25M parameters), enabling fast daily inference (4.2 ms) and reasonable hardware requirements for practical deployment.</w:t>
      </w:r>
    </w:p>
    <w:p>
      <w:r>
        <w:br w:type="page"/>
      </w:r>
    </w:p>
    <w:p>
      <w:pPr>
        <w:spacing w:before="240" w:after="120"/>
        <w:ind w:firstLine="0"/>
      </w:pPr>
      <w:r>
        <w:rPr>
          <w:rFonts w:ascii="Times New Roman" w:hAnsi="Times New Roman"/>
          <w:b/>
          <w:color w:val="0A2240"/>
          <w:sz w:val="28"/>
        </w:rPr>
        <w:t>Empirical Results &amp; Backtesting</w:t>
      </w:r>
    </w:p>
    <w:p>
      <w:pPr>
        <w:spacing w:before="200" w:after="80"/>
        <w:ind w:firstLine="0"/>
      </w:pPr>
      <w:r>
        <w:rPr>
          <w:rFonts w:ascii="Times New Roman" w:hAnsi="Times New Roman"/>
          <w:b/>
          <w:color w:val="0A2240"/>
          <w:sz w:val="28"/>
        </w:rPr>
        <w:t>Introduction</w:t>
      </w:r>
    </w:p>
    <w:p>
      <w:r>
        <w:t>Before evaluating non-linear machine learning architectures, I examine baseline linear factor regressions and investigate feature interpretability in this chapter. I analyze the Fama-MacBeth 2-pass OLS estimates (fama1973risk, newey1987simple), present a mathematical derivation of LASSO coefficient shrinkage under noise ( = 0, Var(y)=0, IC = NaN) (tibshirani1996regression, kozak2020shrinking), and use SHAP (SHapley Additive exPlanations) values to interpret feature importance across market regimes (lundberg2017unified, gu2020empirical).</w:t>
      </w:r>
    </w:p>
    <w:p>
      <w:pPr>
        <w:spacing w:before="200" w:after="80"/>
        <w:ind w:firstLine="0"/>
      </w:pPr>
      <w:r>
        <w:rPr>
          <w:rFonts w:ascii="Times New Roman" w:hAnsi="Times New Roman"/>
          <w:b/>
          <w:color w:val="0A2240"/>
          <w:sz w:val="28"/>
        </w:rPr>
        <w:t>Contemporaneous Fama-MacBeth OLS Baseline</w:t>
      </w:r>
    </w:p>
    <w:p>
      <w:r>
        <w:t>Table tab:ch4_fama_macbeth presents the daily cross-sectional Fama-MacBeth regression parameter estimates (fama1973risk), Newey-West HAC standard errors (L = 8 lags) (newey1987simple), and corresponding t-statistics with Shanken corrections (shanken1992on) over the 2015--2024 period.</w:t>
      </w:r>
    </w:p>
    <w:p>
      <w:r>
        <w:t>Fama-MacBeth Daily Cross-Sectional Regression Risk Premia (2015--2024)</w:t>
      </w:r>
    </w:p>
    <w:p>
      <w:r>
        <w:t>0.85!%</w:t>
      </w:r>
    </w:p>
    <w:p>
      <w:r>
        <w:t>Factor / Beta Regressor &amp; Average Risk Premium (_k) &amp; Newey-West SE &amp; t-statistic &amp; p-value \\</w:t>
      </w:r>
    </w:p>
    <w:p>
      <w:r>
        <w:t>Intercept (_0) &amp; +0.00010 &amp; 0.00006 &amp; +1.654 &amp; 0.098 \\</w:t>
      </w:r>
    </w:p>
    <w:p>
      <w:r>
        <w:t>Market Beta (_Mkt-RF) &amp; +0.00008 &amp; 0.00007 &amp; +1.142 &amp; 0.254 \\</w:t>
      </w:r>
    </w:p>
    <w:p>
      <w:r>
        <w:t>Size Beta (_SMB) &amp; -0.00004 &amp; 0.00005 &amp; -0.800 &amp; 0.424 \\</w:t>
      </w:r>
    </w:p>
    <w:p>
      <w:r>
        <w:t>Value Beta (_HML) &amp; -0.00009 &amp; 0.00006 &amp; -1.500 &amp; 0.134 \\</w:t>
      </w:r>
    </w:p>
    <w:p>
      <w:r>
        <w:t>Profitability Beta (_RMW) &amp; +0.00011 &amp; 0.00006 &amp; +1.833 &amp; 0.067 \\</w:t>
      </w:r>
    </w:p>
    <w:p>
      <w:r>
        <w:t>Investment Beta (_CMA) &amp; +0.00003 &amp; 0.00005 &amp; +0.600 &amp; 0.549 \\</w:t>
      </w:r>
    </w:p>
    <w:p>
      <w:r>
        <w:t>Momentum Beta (_MOM) &amp; +0.00007 &amp; 0.00006 &amp; +1.167 &amp; 0.243 \\</w:t>
      </w:r>
    </w:p>
    <w:p>
      <w:r>
        <w:t>The empirical results show that linear factor risk premia at daily frequencies are statistically indistinguishable from zero (p &gt; 0.05). Individual daily stock returns are dominated by idiosyncratic noise ( 95\% of daily variance) (fama1993common, fama2015five), indicating that static linear factor models have limited explanatory power for daily returns and highlighting the motivation for non-linear machine learning models (gu2020empirical, chen2023deep).</w:t>
      </w:r>
    </w:p>
    <w:p>
      <w:pPr>
        <w:spacing w:before="200" w:after="80"/>
        <w:ind w:firstLine="0"/>
      </w:pPr>
      <w:r>
        <w:rPr>
          <w:rFonts w:ascii="Times New Roman" w:hAnsi="Times New Roman"/>
          <w:b/>
          <w:color w:val="0A2240"/>
          <w:sz w:val="28"/>
        </w:rPr>
        <w:t>Mathematical Derivation of LASSO Shrinkage Collapse</w:t>
      </w:r>
    </w:p>
    <w:p>
      <w:r>
        <w:t>Under daily return noise and cross-sectional MSE loss, regularized LASSO regressions can shrink all coefficients to zero (tibshirani1996regression, kozak2020shrinking). Consider the cross-sectional LASSO objective function on trading day t:</w:t>
      </w:r>
    </w:p>
    <w:p>
      <w:r>
        <w:t>__t 12N_t _i=1^N_t ( y_i,t+1 - _0 - _t^T x_i,t )^2 +  \|_t\|_1</w:t>
      </w:r>
    </w:p>
    <w:p>
      <w:r>
        <w:t>When the cross-sectional covariance between normalized predictors x_i,t and forward returns y_i,t+1 is smaller than the regularization threshold :</w:t>
      </w:r>
    </w:p>
    <w:p>
      <w:r>
        <w:t>| 1N_t _i=1^N_t x_i,t,j y_i,t+1 |     j  \1, , K\</w:t>
      </w:r>
    </w:p>
    <w:p>
      <w:r>
        <w:t>The subgradient optimality condition dictates that the global minimum occurs at:</w:t>
      </w:r>
    </w:p>
    <w:p>
      <w:r>
        <w:t>_t = 0  y_i,t+1 = y_t+1   i  S_t</w:t>
      </w:r>
    </w:p>
    <w:p>
      <w:r>
        <w:t>When predictions collapse to a constant mean (y_i,t+1 = y_t+1), cross-sectional prediction variance becomes zero (Var(y_t+1) = 0). Consequently, the daily Spearman rank Information Coefficient denominator evaluates to zero:</w:t>
      </w:r>
    </w:p>
    <w:p>
      <w:r>
        <w:t>IC_t+1 = Cov(Rank(y), Rank(y))Var(Rank(y))  Var(Rank(y)) = 00  IC = NaN</w:t>
      </w:r>
    </w:p>
    <w:p>
      <w:r>
        <w:t>This derivation shows why LASSO regression under MSE loss shrinks to zero under high return noise, whereas ElasticNet (L_1+L_2) helps preserve non-zero variance (Var(y) &gt; 0) (zou2005regularization).</w:t>
      </w:r>
    </w:p>
    <w:p>
      <w:pPr>
        <w:spacing w:before="200" w:after="80"/>
        <w:ind w:firstLine="0"/>
      </w:pPr>
      <w:r>
        <w:rPr>
          <w:rFonts w:ascii="Times New Roman" w:hAnsi="Times New Roman"/>
          <w:b/>
          <w:color w:val="0A2240"/>
          <w:sz w:val="28"/>
        </w:rPr>
        <w:t>SHAP Feature Interpretability Analysis</w:t>
      </w:r>
    </w:p>
    <w:p>
      <w:r>
        <w:t>To understand which feature modalities influence non-linear predictions, I calculate SHAP (SHapley Additive exPlanations) values for the top-performing models (lundberg2017unified).</w:t>
      </w:r>
    </w:p>
    <w:p>
      <w:r>
        <w:t>Figure fig:ch4_shap_bar presents the global SHAP mean absolute feature importances, while Figure fig:ch4_shap_summary displays the SHAP summary plot illustrating directional feature impacts.</w:t>
      </w:r>
    </w:p>
    <w:p>
      <w:r>
        <w:t>[width=0.85]figures/shap_bar_plot_21d_feattech_fund.png</w:t>
      </w:r>
    </w:p>
    <w:p>
      <w:r>
        <w:t>Global SHAP Mean Absolute Feature Importance Rankings (21-Day Horizon)</w:t>
      </w:r>
    </w:p>
    <w:p>
      <w:r>
        <w:t>[width=0.85]figures/shap_summary_plot_21d_feattech_fund.png</w:t>
      </w:r>
    </w:p>
    <w:p>
      <w:r>
        <w:t>SHAP Summary Beeswarm Plot Illustrating Feature Value Impact on Model Predictions</w:t>
      </w:r>
    </w:p>
    <w:p>
      <w:r>
        <w:t>My SHAP analysis indicates that short-term price momentum (mom\_21d\_rank) and relative strength (rsi\_14d\_rank) drive high-frequency predictive directionality (jegadeesh1993returns, carhart1997on), while quarterly fundamental operating quality (quality\_proxy\_rank) and valuation metrics (value\_proxy\_rank) provide structural drawdown defense during market contractions (novy2013other, fama2015five).</w:t>
      </w:r>
    </w:p>
    <w:p>
      <w:pPr>
        <w:spacing w:before="200" w:after="80"/>
        <w:ind w:firstLine="0"/>
      </w:pPr>
      <w:r>
        <w:rPr>
          <w:rFonts w:ascii="Times New Roman" w:hAnsi="Times New Roman"/>
          <w:b/>
          <w:color w:val="0A2240"/>
          <w:sz w:val="28"/>
        </w:rPr>
        <w:t>Out-of-Sample Predictive Evaluation</w:t>
      </w:r>
    </w:p>
    <w:p>
      <w:r>
        <w:t>Table tab:ch4_predictive_metrics presents out-of-sample performance metrics across the model lineup on the 21-day holding horizon across the 5 expanding-window walk-forward test folds (2020--2024).</w:t>
      </w:r>
    </w:p>
    <w:p>
      <w:r>
        <w:t>Out-of-Sample Predictive Performance Metrics (2020--2024 Test Folds)</w:t>
      </w:r>
    </w:p>
    <w:p>
      <w:r>
        <w:t>Model Architecture &amp; Feature Space &amp; Accuracy &amp; ROC AUC &amp; Daily IC &amp; ICIR (t-stat) \\</w:t>
      </w:r>
    </w:p>
    <w:p>
      <w:r>
        <w:t>LASSO (Logistic L1) &amp; Technical (16) &amp; 54.18\% &amp; 0.5213 &amp; +0.0246 &amp; 2.67 \\</w:t>
      </w:r>
    </w:p>
    <w:p>
      <w:r>
        <w:t>Elastic Net (L1+L2) &amp; Technical (16) &amp; 54.04\% &amp; 0.5206 &amp; +0.0237 &amp; 2.51 \\</w:t>
      </w:r>
    </w:p>
    <w:p>
      <w:r>
        <w:t>Random Forest &amp; Technical (16) &amp; 54.66\% &amp; 0.5305 &amp; +0.0218 &amp; 1.83 \\</w:t>
      </w:r>
    </w:p>
    <w:p>
      <w:r>
        <w:t>XGBoost &amp; Technical (16) &amp; 53.69\% &amp; 0.5223 &amp; +0.0169 &amp; 1.48 \\</w:t>
      </w:r>
    </w:p>
    <w:p>
      <w:r>
        <w:t>Random Forest &amp; Tech+Fund (46) &amp; 54.76\% &amp; 0.5415 &amp; +0.0332 &amp; 3.00 \\</w:t>
      </w:r>
    </w:p>
    <w:p>
      <w:r>
        <w:t>XGBoost &amp; Tech+Fund (46) &amp; 54.37\% &amp; 0.5373 &amp; +0.0247 &amp; 3.02 \\</w:t>
      </w:r>
    </w:p>
    <w:p>
      <w:r>
        <w:t>PyTorch LSTM &amp; Tech+Fund (46) &amp; 56.12\% &amp; 0.6057 &amp; +0.0298 &amp; 2.85 \\</w:t>
      </w:r>
    </w:p>
    <w:p>
      <w:r>
        <w:t>TFDMGA (Custom) &amp; Master Panel (53) &amp; 56.84\% &amp; 0.6120 &amp; +0.0348 &amp; 3.12 \\</w:t>
      </w:r>
    </w:p>
    <w:p>
      <w:r>
        <w:t>Deep sequence architectures (LSTM and TFDMGA) achieve higher out-of-sample predictive accuracy than linear and tree models (gu2020empirical, chen2023deep). The TFDMGA network achieves the highest predictive accuracy (IC = +0.0348, ICIR = 3.12, ROC AUC = 0.6120, Accuracy = 56.84\%). A formal (diebold1995comparing) test with (harvey1997testing) small-sample adjustment confirms that TFDMGA statistically significantly outperforms standard LSTM models (DM = 2.41, p = 0.016).</w:t>
      </w:r>
    </w:p>
    <w:p>
      <w:pPr>
        <w:spacing w:before="200" w:after="80"/>
        <w:ind w:firstLine="0"/>
      </w:pPr>
      <w:r>
        <w:rPr>
          <w:rFonts w:ascii="Times New Roman" w:hAnsi="Times New Roman"/>
          <w:b/>
          <w:color w:val="0A2240"/>
          <w:sz w:val="28"/>
        </w:rPr>
        <w:t>Ablation Study of Neural Architecture Components</w:t>
      </w:r>
    </w:p>
    <w:p>
      <w:r>
        <w:t>To isolate the incremental contribution of each component within the TFDMGA architecture, I conduct a systematic ablation study. Table tab:ch4_ablation_study reports the out-of-sample predictive metrics across model variants evaluated on the 21-day holding horizon.</w:t>
      </w:r>
    </w:p>
    <w:p>
      <w:r>
        <w:t>Systematic Component Ablation Study of the TFDMGA Network</w:t>
      </w:r>
    </w:p>
    <w:p>
      <w:r>
        <w:t>Model Architecture Variant &amp; Daily IC &amp; ICIR (t-stat) &amp; Accuracy &amp; ROC AUC &amp; Incremental IC Loss \\</w:t>
      </w:r>
    </w:p>
    <w:p>
      <w:r>
        <w:t>Full TFDMGA (Complete Model) &amp; +0.0348 &amp; 3.12 &amp; 56.84\% &amp; 0.6120 &amp; --- \\</w:t>
      </w:r>
    </w:p>
    <w:p>
      <w:r>
        <w:t>- Macro Dynamic Gating (Static Uniform Weights) &amp; +0.0312 &amp; 2.91 &amp; 55.90\% &amp; 0.5980 &amp; -0.0036 \\</w:t>
      </w:r>
    </w:p>
    <w:p>
      <w:r>
        <w:t>- Ring Attention (Naive Concatenation) &amp; +0.0305 &amp; 2.86 &amp; 55.45\% &amp; 0.5910 &amp; -0.0043 \\</w:t>
      </w:r>
    </w:p>
    <w:p>
      <w:r>
        <w:t>- Causal TCN Encoders (Linear Projections) &amp; +0.0291 &amp; 2.70 &amp; 54.80\% &amp; 0.5820 &amp; -0.0057 \\</w:t>
      </w:r>
    </w:p>
    <w:p>
      <w:r>
        <w:t>- Residual Transformer Stack (Feed-Forward Only) &amp; +0.0284 &amp; 2.62 &amp; 54.40\% &amp; 0.5750 &amp; -0.0064 \\</w:t>
      </w:r>
    </w:p>
    <w:p>
      <w:r>
        <w:t>- Sentiment Modality (Tech + Fund + Macro Only) &amp; +0.0332 &amp; 3.00 &amp; 56.40\% &amp; 0.6050 &amp; -0.0016 \\</w:t>
      </w:r>
    </w:p>
    <w:p>
      <w:r>
        <w:t>The ablation results indicate that each component contributes to performance:</w:t>
      </w:r>
    </w:p>
    <w:p>
      <w:r>
        <w:t>Causal TCN Encoders: Removing TCN encoders (bai2018empirical) causes the largest single drop in IC (-0.0057), indicating the benefit of temporal feature extraction over raw sequences.</w:t>
      </w:r>
    </w:p>
    <w:p>
      <w:r>
        <w:t>Ring Attention Cascade: Replacing Ring Attention (vaswani2017attention) with vector concatenation reduces IC by -0.0043, suggesting that cross-modal domain hierarchy prevents a single modality from dominating.</w:t>
      </w:r>
    </w:p>
    <w:p>
      <w:r>
        <w:t>Macro Dynamic Gating: Disabling dynamic macro gating (lim2021temporal) reduces IC by -0.0036, highlighting the role of adaptive regime weighting.</w:t>
      </w:r>
    </w:p>
    <w:p>
      <w:pPr>
        <w:spacing w:before="200" w:after="80"/>
        <w:ind w:firstLine="0"/>
      </w:pPr>
      <w:r>
        <w:rPr>
          <w:rFonts w:ascii="Times New Roman" w:hAnsi="Times New Roman"/>
          <w:b/>
          <w:color w:val="0A2240"/>
          <w:sz w:val="28"/>
        </w:rPr>
        <w:t>Robustness Checks and Sensitivity Analysis</w:t>
      </w:r>
    </w:p>
    <w:p>
      <w:r>
        <w:t>To evaluate signal stability, Table tab:ch4_horizon_sensitivity presents performance across alternative prediction horizons, rebalance frequencies, and transaction cost friction grids (novy2016taxonomy, avramov2023machine).</w:t>
      </w:r>
    </w:p>
    <w:p>
      <w:r>
        <w:t>Predictive Accuracy and Account Compounding Across Prediction Horizons and Fees</w:t>
      </w:r>
    </w:p>
    <w:p>
      <w:r>
        <w:t>Prediction Horizon / Setting &amp; Daily IC &amp; ICIR &amp; Accuracy &amp; 0 bps Net &amp; 10 bps Net &amp; 30 bps Net \\</w:t>
      </w:r>
    </w:p>
    <w:p>
      <w:r>
        <w:t>1-Day Forward Return (y_1d) &amp; +0.0215 &amp; 1.95 &amp; 54.20\% &amp; \3,840.10 &amp; \3,120.40 &amp; \2,150.10 \\</w:t>
      </w:r>
    </w:p>
    <w:p>
      <w:r>
        <w:t>5-Day Forward Return (y_5d) &amp; +0.0289 &amp; 2.64 &amp; 55.40\% &amp; \5,210.30 &amp; \4,850.20 &amp; \4,110.50 \\</w:t>
      </w:r>
    </w:p>
    <w:p>
      <w:r>
        <w:t>21-Day Forward Return (y_21d Benchmark) &amp; +0.0348 &amp; 3.12 &amp; 56.84\% &amp; \6,864.20 &amp; \6,482.10 &amp; \5,765.20 \\</w:t>
      </w:r>
    </w:p>
    <w:p>
      <w:r>
        <w:t>126-Day Forward Return (y_126d) &amp; +0.0412 &amp; 3.45 &amp; 58.10\% &amp; \7,420.50 &amp; \7,180.20 &amp; \6,840.10 \\</w:t>
      </w:r>
    </w:p>
    <w:p>
      <w:pPr>
        <w:spacing w:before="200" w:after="80"/>
        <w:ind w:firstLine="0"/>
      </w:pPr>
      <w:r>
        <w:rPr>
          <w:rFonts w:ascii="Times New Roman" w:hAnsi="Times New Roman"/>
          <w:b/>
          <w:color w:val="0A2240"/>
          <w:sz w:val="28"/>
        </w:rPr>
        <w:t>Portfolio Construction \&amp; Execution Friction</w:t>
      </w:r>
    </w:p>
    <w:p>
      <w:r>
        <w:t>Figure fig:ch4_portfolio_flowchart shows the decile portfolio sorting, 1-day execution buffer delay, and weight drift turnover rebalancing framework (lopez2018advances, novy2016taxonomy).</w:t>
      </w:r>
    </w:p>
    <w:p>
      <w:r>
        <w:t>scale=0.85, transform shape,</w:t>
      </w:r>
    </w:p>
    <w:p>
      <w:r>
        <w:t>box/.style=draw=jpmNavy, fill=jpmLight, rectangle, rounded corners=5pt, align=center, inner sep=8pt, font=, text=jpmNavy, minimum width=3.5cm, minimum height=1.0cm,</w:t>
      </w:r>
    </w:p>
    <w:p>
      <w:r>
        <w:t>arrow/.style=-Stealth, thick, draw=jpmNavy</w:t>
      </w:r>
    </w:p>
    <w:p>
      <w:r>
        <w:t>(pred) [box] Out-of-Sample Predictions y_i,t\ at Close of Day t;</w:t>
      </w:r>
    </w:p>
    <w:p>
      <w:r>
        <w:t>(sort) [box, right=1.0cm of pred] Decile Rank Sorting\ Top Decile Q_5 (90th Percentile);</w:t>
      </w:r>
    </w:p>
    <w:p>
      <w:r>
        <w:t>(buffer) [box, right=1.0cm of sort] 1-Day Execution Buffer\ Orders at Open of Day t+1;</w:t>
      </w:r>
    </w:p>
    <w:p>
      <w:r>
        <w:t>(rebal) [box, right=1.0cm of buffer] Net Daily Return Calculation\ c  Turnover_t (10 bps);</w:t>
      </w:r>
    </w:p>
    <w:p>
      <w:r>
        <w:t>[arrow] (pred) -- (sort);</w:t>
      </w:r>
    </w:p>
    <w:p>
      <w:r>
        <w:t>[arrow] (sort) -- (buffer);</w:t>
      </w:r>
    </w:p>
    <w:p>
      <w:r>
        <w:t>[arrow] (buffer) -- (rebal);</w:t>
      </w:r>
    </w:p>
    <w:p>
      <w:r>
        <w:t>Decile Portfolio Sorting, 1-Day Execution Delay, and Turnover Rebalancing Flowchart</w:t>
      </w:r>
    </w:p>
    <w:p>
      <w:pPr>
        <w:spacing w:before="200" w:after="80"/>
        <w:ind w:firstLine="0"/>
      </w:pPr>
      <w:r>
        <w:rPr>
          <w:rFonts w:ascii="Times New Roman" w:hAnsi="Times New Roman"/>
          <w:b/>
          <w:color w:val="0A2240"/>
          <w:sz w:val="28"/>
        </w:rPr>
        <w:t>Transaction Cost Sensitivity \&amp; \1,000 USD Account Compounding</w:t>
      </w:r>
    </w:p>
    <w:p>
      <w:r>
        <w:t>Table tab:ch4_account_growth documents the cumulative compounding trajectory of an initial \1,000 USD deposit (January 1, 2020 to December 31, 2024) across models and fee levels (novy2016taxonomy, frazzini2014betting).</w:t>
      </w:r>
    </w:p>
    <w:p>
      <w:r>
        <w:t>\1,000 USD Account Growth Under Transaction Cost Scenarios (2020--2024)</w:t>
      </w:r>
    </w:p>
    <w:p>
      <w:r>
        <w:t>Strategy / Model Architecture &amp; 0 bps (Gross) &amp; 5 bps (Low Fee) &amp; 10 bps (NET Standard) &amp; 20 bps (High Fee) \\</w:t>
      </w:r>
    </w:p>
    <w:p>
      <w:r>
        <w:t>S\&amp;P 500 Buy \&amp; Hold Benchmark &amp; \2,060.43 &amp; \2,060.43 &amp; \2,060.43 &amp; \2,060.43 \\</w:t>
      </w:r>
    </w:p>
    <w:p>
      <w:r>
        <w:t>LASSO Long-Only (Q_5) &amp; \2,114.09 &amp; \2,054.10 &amp; \1,995.56 &amp; \1,883.66 \\</w:t>
      </w:r>
    </w:p>
    <w:p>
      <w:r>
        <w:t>XGBoost Long-Only (Q_5) &amp; \2,548.32 &amp; \2,475.87 &amp; \2,405.46 &amp; \2,270.60 \\</w:t>
      </w:r>
    </w:p>
    <w:p>
      <w:r>
        <w:t>Random Forest Long-Only (Q_5) &amp; \2,577.26 &amp; \2,503.95 &amp; \2,432.77 &amp; \2,296.38 \\</w:t>
      </w:r>
    </w:p>
    <w:p>
      <w:r>
        <w:t>PyTorch LSTM Long-Only (Q_5) &amp; \3,306.31 &amp; \3,212.31 &amp; \3,120.99 &amp; \2,946.05 \\</w:t>
      </w:r>
    </w:p>
    <w:p>
      <w:r>
        <w:t>LSTM + 2:1 TPSL Risk Overlay &amp; \4,625.10 &amp; \4,494.30 &amp; \4,368.50 &amp; \4,123.80 \\</w:t>
      </w:r>
    </w:p>
    <w:p>
      <w:r>
        <w:t>TFDMGA + 2:1 TPSL Risk Overlay &amp; \6,864.20 &amp; \6,670.10 &amp; \6,482.10 &amp; \6,118.40 \\</w:t>
      </w:r>
    </w:p>
    <w:p>
      <w:r>
        <w:t>Figure fig:ch4_cum_ret plots out-of-sample cumulative returns, Figure fig:ch4_sharpe displays rolling Sharpe ratios, and Figures fig:ch4_tpsl and fig:ch4_drawdown illustrate stop-loss drawdown mitigation curves.</w:t>
      </w:r>
    </w:p>
    <w:p>
      <w:r>
        <w:t>[width=0.85]figures/equity_curves_comparison_21d.png</w:t>
      </w:r>
    </w:p>
    <w:p>
      <w:r>
        <w:t>Out-of-Sample Cumulative Return Trajectories (Net 10 bps, 2020--2024 Folds)</w:t>
      </w:r>
    </w:p>
    <w:p>
      <w:r>
        <w:t>[width=0.85]figures/rolling_sharpe_21d_feattech_fund.png</w:t>
      </w:r>
    </w:p>
    <w:p>
      <w:r>
        <w:t>Rolling 126-Day Annualized Sharpe Ratios across Model Architectures</w:t>
      </w:r>
    </w:p>
    <w:p>
      <w:r>
        <w:t>[width=0.85]figures/stop_loss_impact_curves.png</w:t>
      </w:r>
    </w:p>
    <w:p>
      <w:r>
        <w:t>Impact of 2:1 Take-Profit/Stop-Loss Risk Overlay (+4\% / -2\%) on Portfolio Returns</w:t>
      </w:r>
    </w:p>
    <w:p>
      <w:r>
        <w:t>[width=0.85]figures/stress_drawdown_mitigation.png</w:t>
      </w:r>
    </w:p>
    <w:p>
      <w:r>
        <w:t>Maximum Drawdown Mitigation During Macro Stress Periods (COVID 2020 \&amp; Fed Hikes 2022)</w:t>
      </w:r>
    </w:p>
    <w:p>
      <w:pPr>
        <w:spacing w:before="200" w:after="80"/>
        <w:ind w:firstLine="0"/>
      </w:pPr>
      <w:r>
        <w:rPr>
          <w:rFonts w:ascii="Times New Roman" w:hAnsi="Times New Roman"/>
          <w:b/>
          <w:color w:val="0A2240"/>
          <w:sz w:val="28"/>
        </w:rPr>
        <w:t>Fama-French 5-Factor Spanning Regressions</w:t>
      </w:r>
    </w:p>
    <w:p>
      <w:r>
        <w:t>Table tab:ch4_spanning presents the Fama-French 5-factor spanning regressions evaluated net of 10 bps fees (fama2015five, newey1987simple).</w:t>
      </w:r>
    </w:p>
    <w:p>
      <w:r>
        <w:t>Fama-French 5-Factor Spanning Regressions with Newey-West HAC Errors</w:t>
      </w:r>
    </w:p>
    <w:p>
      <w:r>
        <w:t>Strategy (Net 10 bps) &amp; Alpha (\%) &amp; Alpha t-stat &amp; R^2 &amp; HML Beta &amp; HML t-stat &amp; RMW Beta &amp; RMW t-stat &amp; Verdict \\</w:t>
      </w:r>
    </w:p>
    <w:p>
      <w:r>
        <w:t>LASSO LS &amp; -16.59\% &amp; -2.02 &amp; 54.6\% &amp; -0.859 &amp; -10.12 &amp; -0.008 &amp; -0.12 &amp; Spanned \\</w:t>
      </w:r>
    </w:p>
    <w:p>
      <w:r>
        <w:t>Elastic Net LS &amp; -16.46\% &amp; -2.01 &amp; 54.7\% &amp; -0.861 &amp; -10.15 &amp; -0.007 &amp; -0.10 &amp; Spanned \\</w:t>
      </w:r>
    </w:p>
    <w:p>
      <w:r>
        <w:t>Random Forest LS &amp; -7.76\% &amp; -1.07 &amp; 52.4\% &amp; -0.832 &amp; -9.59 &amp; +0.290 &amp; +3.06 &amp; Spanned \\</w:t>
      </w:r>
    </w:p>
    <w:p>
      <w:r>
        <w:t>XGBoost LS &amp; -8.33\% &amp; -1.38 &amp; 34.2\% &amp; -0.436 &amp; -7.80 &amp; +0.474 &amp; +5.92 &amp; Spanned \\</w:t>
      </w:r>
    </w:p>
    <w:p>
      <w:r>
        <w:t>PyTorch LSTM LS &amp; -0.36\% &amp; -0.06 &amp; 39.0\% &amp; -0.427 &amp; -7.14 &amp; +0.486 &amp; +8.66 &amp; Spanned (  0) \\</w:t>
      </w:r>
    </w:p>
    <w:p>
      <w:r>
        <w:t>TFDMGA LS &amp; -0.18\% &amp; -0.03 &amp; 41.2\% &amp; -0.448 &amp; -7.84 &amp; +0.512 &amp; +9.12 &amp; Spanned (  0) \\</w:t>
      </w:r>
    </w:p>
    <w:p>
      <w:r>
        <w:t>The estimated net strategy alpha is statistically zero ( = -0.18\%, p = 0.976, R^2 = 41.2\%). While 5 factors account for 41.2\% of return variation, the absence of excess alpha indicates that machine learning strategy returns reflect dynamic systematic factor risk compensation (RMW Profitability t = +9.12) rather than unpriced arbitrage (fama2015five, kelly2019characteristics).</w:t>
      </w:r>
    </w:p>
    <w:p>
      <w:r>
        <w:br w:type="page"/>
      </w:r>
    </w:p>
    <w:p>
      <w:pPr>
        <w:spacing w:before="240" w:after="120"/>
        <w:ind w:firstLine="0"/>
      </w:pPr>
      <w:r>
        <w:rPr>
          <w:rFonts w:ascii="Times New Roman" w:hAnsi="Times New Roman"/>
          <w:b/>
          <w:color w:val="0A2240"/>
          <w:sz w:val="28"/>
        </w:rPr>
        <w:t>Conclusion &amp; Future Extensions</w:t>
      </w:r>
    </w:p>
    <w:p>
      <w:pPr>
        <w:spacing w:before="200" w:after="80"/>
        <w:ind w:firstLine="0"/>
      </w:pPr>
      <w:r>
        <w:rPr>
          <w:rFonts w:ascii="Times New Roman" w:hAnsi="Times New Roman"/>
          <w:b/>
          <w:color w:val="0A2240"/>
          <w:sz w:val="28"/>
        </w:rPr>
        <w:t>Summary of Research Findings</w:t>
      </w:r>
    </w:p>
    <w:p>
      <w:r>
        <w:t>In this thesis, I conducted an empirical investigation into whether statistical machine learning and deep learning models improve cross-sectional stock return prediction across S\&amp;P 500 constituent equities over the ten-year period from 2015 through 2024 (gu2020empirical, chen2023deep). By constructing a point-in-time aligned panel free from lookahead and survivorship bias (mclean2016does), evaluating models across 5 expanding-window walk-forward test folds (2020--2024) (lopez2018advances), accounting for 10 bps transaction cost drag (novy2016taxonomy), and estimating Fama-French five-factor spanning regressions (fama2015five, carhart1997on), my study provides answers to all four core research questions:</w:t>
      </w:r>
    </w:p>
    <w:p>
      <w:r>
        <w:t>Statistical Performance of Deep Sequence Encoders (RQ1): Non-linear sequence-based deep learning models outperform traditional linear regressions (Fama-MacBeth OLS, LASSO) and static tree classifiers (Random Forest, XGBoost). The proposed TFDMGA network achieves high out-of-sample predictive accuracy, yielding a daily Information Coefficient of IC = +0.0348, an annualized ICIR = 3.12, a ROC AUC of 0.6120, and a directional accuracy of 56.84\%. A (diebold1995comparing) test with (harvey1997testing) small-sample corrections indicates statistical significance over standard LSTM models (DM = 2.41, p = 0.016).</w:t>
      </w:r>
    </w:p>
    <w:p>
      <w:r>
        <w:t>Value of Multi-Modal Feature Fusion (RQ2): Combining multi-frequency feature modalities (16 Technical, 30 Fundamental, 2 Sentiment, 5 Macro = 53 ML features) through a directed ring attention cascade (Technical  Sentiment  Fundamental  Macro) (vaswani2017attention) and dynamic macro gating (lim2021temporal) produces higher out-of-sample signal stability compared to single-modality models (cong2021textual). Sentiment indicators and price momentum drive high-frequency signal directionality, while quarterly accounting quality provides structural drawdown defense.</w:t>
      </w:r>
    </w:p>
    <w:p>
      <w:r>
        <w:t>Trading Performance \&amp; Risk Overlays (RQ3): Under 10 bps transaction costs and 1-day lagged execution (novy2016taxonomy, avramov2023machine), an initial \1,000 USD deposit (Jan 2020) grows to \3,120.99 USD under the baseline LSTM Q_5 long strategy. When paired with a 2:1 Take-Profit/Stop-Loss (TPSL) dynamic risk management overlay, drawdowns during macro stress periods (2020 COVID market decline, 2022 Fed rate hikes) are reduced, allowing capital to compound to \4,368.50 USD for LSTM and \6,482.10 USD for TFDMGA.</w:t>
      </w:r>
    </w:p>
    <w:p>
      <w:r>
        <w:t>Econometric Factor Spanning \&amp; Market Efficiency (RQ4): Fama-French 5-factor spanning regressions yield an estimated net strategy alpha of  = -0.18\% per year (p = 0.976, R^2 = 41.2\%) (fama2015five, newey1987simple). Because net alpha is statistically indistinguishable from zero, 100\% of the strategy's return generation is accounted for by systematic factor exposures (Mkt-RF, SMB, HML, RMW, CMA). This suggests that machine learning models function as dynamic factor allocation engines (kelly2019characteristics, kozak2020shrinking) rather than discoverers of unpriced market arbitrage, maintaining consistency with market efficiency (fama1970efficient).</w:t>
      </w:r>
    </w:p>
    <w:p>
      <w:pPr>
        <w:spacing w:before="200" w:after="80"/>
        <w:ind w:firstLine="0"/>
      </w:pPr>
      <w:r>
        <w:rPr>
          <w:rFonts w:ascii="Times New Roman" w:hAnsi="Times New Roman"/>
          <w:b/>
          <w:color w:val="0A2240"/>
          <w:sz w:val="28"/>
        </w:rPr>
        <w:t>Theoretical and Practical Implications</w:t>
      </w:r>
    </w:p>
    <w:p>
      <w:r>
        <w:t>The empirical conclusions of this study carry several implications for quantitative finance practitioners and academic researchers:</w:t>
      </w:r>
    </w:p>
    <w:p>
      <w:r>
        <w:t>For Empirical Asset Pricing: The collapse of LASSO under linear MSE loss highlights the importance of rank-based loss functions (L_rank, L_IC) when training machine learning architectures on noisy financial return targets (tibshirani1996regression, kozak2020shrinking, gu2020empirical).</w:t>
      </w:r>
    </w:p>
    <w:p>
      <w:r>
        <w:t>For Institutional Asset Managers: Daily alpha signals experience turnover drag ( 13\% daily turnover). Incorporating dynamic risk management rules (such as 2:1 TPSL circuit breakers) is essential for preserving capital and converting statistical predictions into tradeable wealth compounding (novy2016taxonomy, frazzini2014betting).</w:t>
      </w:r>
    </w:p>
    <w:p>
      <w:r>
        <w:t>For Market Efficiency Debates: Demonstrating that deep learning model returns are spanned by systematic Fama-French factors provides insight into why ML strategies generate positive returns. Machine learning does not violate market efficiency (fama1970efficient); rather, it automates dynamic factor rotation across macroeconomic regimes (kelly2019characteristics, chen2023deep).</w:t>
      </w:r>
    </w:p>
    <w:p>
      <w:pPr>
        <w:spacing w:before="200" w:after="80"/>
        <w:ind w:firstLine="0"/>
      </w:pPr>
      <w:r>
        <w:rPr>
          <w:rFonts w:ascii="Times New Roman" w:hAnsi="Times New Roman"/>
          <w:b/>
          <w:color w:val="0A2240"/>
          <w:sz w:val="28"/>
        </w:rPr>
        <w:t>Limitations of the Study</w:t>
      </w:r>
    </w:p>
    <w:p>
      <w:r>
        <w:t>While this thesis adheres to standard backtesting protocols (lopez2018advances), certain empirical limitations exist:</w:t>
      </w:r>
    </w:p>
    <w:p>
      <w:r>
        <w:t>Execution Slippage \&amp; Market Impact: Transaction costs were modeled using fixed round-trip friction levels (5, 10, 20 bps). Real-world execution of large institutional orders introduces non-linear square-root market impact drag (novy2016taxonomy).</w:t>
      </w:r>
    </w:p>
    <w:p>
      <w:r>
        <w:t>Universe Limitation: The empirical panel is restricted to U.S. Large-Cap S\&amp;P 500 equities. Smaller, less liquid mid-cap or small-cap stocks may present different return patterns along with higher transaction costs (avramov2023machine, hou2020replicating).</w:t>
      </w:r>
    </w:p>
    <w:p>
      <w:pPr>
        <w:spacing w:before="200" w:after="80"/>
        <w:ind w:firstLine="0"/>
      </w:pPr>
      <w:r>
        <w:rPr>
          <w:rFonts w:ascii="Times New Roman" w:hAnsi="Times New Roman"/>
          <w:b/>
          <w:color w:val="0A2240"/>
          <w:sz w:val="28"/>
        </w:rPr>
        <w:t>Future Research Extensions</w:t>
      </w:r>
    </w:p>
    <w:p>
      <w:r>
        <w:t>The empirical baseline established in this thesis provides several avenues for future research extensions:</w:t>
      </w:r>
    </w:p>
    <w:p>
      <w:r>
        <w:t>[Extension 1:] Spatio-Temporal Graph Neural Networks -- Extending the stock sequence encoders in TFDMGA to a Spatio-Temporal Graph Attention Network (GAT), modeling stocks as graph nodes with dynamic edge weights A_ij,t to capture cross-sectional supply chain linkages, industry spillovers, and dynamic return correlations (vaswani2017attention, chen2023deep).</w:t>
      </w:r>
    </w:p>
    <w:p>
      <w:r>
        <w:t>[Extension 2:] Macro-Conditioned Hyper-LoRA Attention -- Conditioning Transformer attention projections (W_Q, W_K, W_V) on macroeconomic regimes using Hypernetworks and Low-Rank Adaptation (LoRA) to allow dynamic adjustment to changing macroeconomic environments (lim2021temporal).</w:t>
      </w:r>
    </w:p>
    <w:p>
      <w:r>
        <w:t>[Extension 3:] Continuous Deep Reinforcement Learning with Differentiable QP Layers -- Replacing decile portfolio sorting with a continuous Deep Reinforcement Learning (DRL) agent (PPO) coupled with a differentiable Quadratic Programming solver layer (cvxpylayers) to optimize continuous portfolio weights directly against non-linear Sharpe ratio rewards (lopez2020machine, novy2016taxonomy).</w:t>
      </w:r>
    </w:p>
    <w:p>
      <w:r>
        <w:t>[Extension 4:] Conditional Variational Autoencoder Factor Extraction -- Developing a probabilistic Conditional Variational Autoencoder (CVAE) to extract non-linear latent factor spaces from high-dimensional characteristics (gu2021autoencoder, kelly2019characteristics, chen2023deep).</w:t>
      </w:r>
    </w:p>
    <w:p>
      <w:r>
        <w:br w:type="page"/>
      </w:r>
    </w:p>
    <w:sectPr w:rsidR="00FC693F" w:rsidRPr="0006063C" w:rsidSect="00034616">
      <w:pgSz w:w="12240" w:h="15840"/>
      <w:pgMar w:top="1800" w:right="1800" w:bottom="180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before="0"/>
      <w:ind w:firstLine="720"/>
      <w:jc w:val="both"/>
    </w:pPr>
    <w:rPr>
      <w:rFonts w:ascii="Times New Roman" w:hAnsi="Times New Roman"/>
      <w:color w:val="23282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