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UNIVERSITY OF VERONA</w:t>
        <w:br/>
        <w:t>DEPARTMENT OF ECONOMICS</w:t>
        <w:br/>
        <w:t>Master's Degree in Economics and Data Analysis</w:t>
        <w:br/>
        <w:br/>
      </w:r>
      <w:r>
        <w:rPr>
          <w:b/>
          <w:color w:val="0A2240"/>
          <w:sz w:val="36"/>
        </w:rPr>
        <w:t>DO MACHINE LEARNING MODELS IMPROVE STOCK RETURN PREDICTION?</w:t>
        <w:br/>
      </w:r>
      <w:r>
        <w:rPr>
          <w:b/>
          <w:color w:val="465A6E"/>
          <w:sz w:val="28"/>
        </w:rPr>
        <w:t>Evidence from S&amp;P 500 Constituent Markets and Dimension Sensitivity (2015–2024)</w:t>
        <w:br/>
        <w:br/>
      </w:r>
    </w:p>
    <w:p>
      <w:pPr>
        <w:ind w:firstLine="0"/>
      </w:pPr>
      <w:r>
        <w:t>Candidate: Murtuza Yusuf Rangwala (Matricola: VR508566)</w:t>
        <w:br/>
        <w:t>Supervisor: Prof. Giuseppina Chesini</w:t>
        <w:br/>
        <w:t>Academic Year: 2024/2025</w:t>
      </w:r>
    </w:p>
    <w:p>
      <w:r>
        <w:br w:type="page"/>
      </w:r>
    </w:p>
    <w:p>
      <w:pPr>
        <w:spacing w:before="240" w:after="120"/>
        <w:ind w:firstLine="0"/>
      </w:pPr>
      <w:r>
        <w:rPr>
          <w:rFonts w:ascii="Times New Roman" w:hAnsi="Times New Roman"/>
          <w:b/>
          <w:color w:val="0A2240"/>
          <w:sz w:val="28"/>
        </w:rPr>
        <w:t>Abstract</w:t>
      </w:r>
    </w:p>
    <w:p>
      <w:r>
        <w:t>[top=1.25in, bottom=1.25in, left=1.25in, right=1.25in]geometry</w:t>
      </w:r>
    </w:p>
    <w:p>
      <w:r>
        <w:t>setspace</w:t>
      </w:r>
    </w:p>
    <w:p>
      <w:r>
        <w:t>1.5</w:t>
      </w:r>
    </w:p>
    <w:p>
      <w:r>
        <w:t>6pt</w:t>
      </w:r>
    </w:p>
    <w:p>
      <w:r>
        <w:t>1.27cm</w:t>
      </w:r>
    </w:p>
    <w:p>
      <w:r>
        <w:t>=28pt</w:t>
      </w:r>
    </w:p>
    <w:p>
      <w:r>
        <w:t>=2em</w:t>
      </w:r>
    </w:p>
    <w:p>
      <w:r>
        <w:t>[utf8]inputenc</w:t>
      </w:r>
    </w:p>
    <w:p>
      <w:r>
        <w:t>[T1]fontenc</w:t>
      </w:r>
    </w:p>
    <w:p>
      <w:r>
        <w:t>times</w:t>
      </w:r>
    </w:p>
    <w:p>
      <w:r>
        <w:t>microtype</w:t>
      </w:r>
    </w:p>
    <w:p>
      <w:r>
        <w:t>titlesec</w:t>
      </w:r>
    </w:p>
    <w:p>
      <w:r>
        <w:t>[block]1418jpmNavy.0.8em</w:t>
      </w:r>
    </w:p>
    <w:p>
      <w:r>
        <w:t>*0pt12pt6pt</w:t>
      </w:r>
    </w:p>
    <w:p>
      <w:r>
        <w:t>[block]1418jpmNavy0.8em</w:t>
      </w:r>
    </w:p>
    <w:p>
      <w:r>
        <w:t>*0pt10pt4pt</w:t>
      </w:r>
    </w:p>
    <w:p>
      <w:r>
        <w:t>[block]12160.8em</w:t>
      </w:r>
    </w:p>
    <w:p>
      <w:r>
        <w:t>*0pt8pt4pt</w:t>
      </w:r>
    </w:p>
    <w:p>
      <w:r>
        <w:t>amsmath, amssymb, amsthm</w:t>
      </w:r>
    </w:p>
    <w:p>
      <w:r>
        <w:t>booktabs</w:t>
      </w:r>
    </w:p>
    <w:p>
      <w:r>
        <w:t>multirow</w:t>
      </w:r>
    </w:p>
    <w:p>
      <w:r>
        <w:t>array</w:t>
      </w:r>
    </w:p>
    <w:p>
      <w:r>
        <w:t>float</w:t>
      </w:r>
    </w:p>
    <w:p>
      <w:r>
        <w:t>graphicx</w:t>
      </w:r>
    </w:p>
    <w:p>
      <w:r>
        <w:t>xcolor</w:t>
      </w:r>
    </w:p>
    <w:p>
      <w:r>
        <w:t>jpmNavyHTML0A2240</w:t>
      </w:r>
    </w:p>
    <w:p>
      <w:r>
        <w:t>jpmGoldHTMLD4AF37</w:t>
      </w:r>
    </w:p>
    <w:p>
      <w:r>
        <w:t>jpmDarkHTML23282D</w:t>
      </w:r>
    </w:p>
    <w:p>
      <w:r>
        <w:t>jpmLightHTMLF4F6F9</w:t>
      </w:r>
    </w:p>
    <w:p>
      <w:r>
        <w:t>jpmRedHTML8B0000</w:t>
      </w:r>
    </w:p>
    <w:p>
      <w:r>
        <w:t>jpmGreenHTML006400</w:t>
      </w:r>
    </w:p>
    <w:p>
      <w:r>
        <w:t>tikz</w:t>
      </w:r>
    </w:p>
    <w:p>
      <w:r>
        <w:t>shapes.geometric, arrows.meta, positioning, calc, fit</w:t>
      </w:r>
    </w:p>
    <w:p>
      <w:r>
        <w:t>hyperref</w:t>
      </w:r>
    </w:p>
    <w:p>
      <w:r>
        <w:t>colorlinks=true,</w:t>
      </w:r>
    </w:p>
    <w:p>
      <w:r>
        <w:t>linkcolor=jpmNavy,</w:t>
      </w:r>
    </w:p>
    <w:p>
      <w:r>
        <w:t>citecolor=jpmNavy,</w:t>
      </w:r>
    </w:p>
    <w:p>
      <w:r>
        <w:t>urlcolor=jpmNavy</w:t>
      </w:r>
    </w:p>
    <w:p>
      <w:r>
        <w:t>[round, authoryear]natbib</w:t>
      </w:r>
    </w:p>
    <w:p>
      <w:r>
        <w:t>plainnat</w:t>
      </w:r>
    </w:p>
    <w:p>
      <w:r>
        <w:t>*0.5cm</w:t>
      </w:r>
    </w:p>
    <w:p>
      <w:r>
        <w:t>1418 OF VERONA\\[0.2cm]</w:t>
      </w:r>
    </w:p>
    <w:p>
      <w:r>
        <w:t>1216 DEPARTMENT OF ECONOMICS\\[0.1cm]</w:t>
      </w:r>
    </w:p>
    <w:p>
      <w:r>
        <w:t>1114 Master's Degree in Economics and Data Analysis\\[1.5cm]</w:t>
      </w:r>
    </w:p>
    <w:p>
      <w:r>
        <w:t>1.5pt\\[0.4cm]</w:t>
      </w:r>
    </w:p>
    <w:p>
      <w:r>
        <w:t>1822jpmNavy DO MACHINE LEARNING MODELS IMPROVE STOCK RETURN PREDICTION?\\[0.3cm]</w:t>
      </w:r>
    </w:p>
    <w:p>
      <w:r>
        <w:t>1316jpmDark Evidence from S\&amp;P 500 Constituent Markets and Dimension Sensitivity (2015--2024)\\[0.3cm]</w:t>
      </w:r>
    </w:p>
    <w:p>
      <w:r>
        <w:t>1.5pt\\[2.0cm]</w:t>
      </w:r>
    </w:p>
    <w:p>
      <w:r>
        <w:t>:\\[0.1cm]</w:t>
      </w:r>
    </w:p>
    <w:p>
      <w:r>
        <w:t>Prof.\ Giuseppina Chesini</w:t>
      </w:r>
    </w:p>
    <w:p>
      <w:r>
        <w:t>:\\[0.1cm]</w:t>
      </w:r>
    </w:p>
    <w:p>
      <w:r>
        <w:t>Murtuza Yusuf Rangwala\\[0.1cm]</w:t>
      </w:r>
    </w:p>
    <w:p>
      <w:r>
        <w:t>Matricola: VR508566</w:t>
      </w:r>
    </w:p>
    <w:p>
      <w:r>
        <w:t>Academic Year 2024/2025</w:t>
      </w:r>
    </w:p>
    <w:p>
      <w:r>
        <w:t>roman</w:t>
      </w:r>
    </w:p>
    <w:p>
      <w:r>
        <w:t>page1</w:t>
      </w:r>
    </w:p>
    <w:p>
      <w:r>
        <w:t>tocchapterAbstract</w:t>
      </w:r>
    </w:p>
    <w:p>
      <w:r>
        <w:t>In this thesis, I investigate whether statistical machine learning and deep learning sequence architectures improve out-of-sample equity return predictions compared to classical linear asset pricing baselines. Using a point-in-time aligned dataset of S\&amp;P 500 constituent stocks spanning 2015 through 2024 (2,516 daily cross-sections), I construct a 59-variable feature panel incorporating technical price signals, fundamental accounting metrics, sentiment indicators, macroeconomic series, and rolling risk factor betas.</w:t>
      </w:r>
    </w:p>
    <w:p>
      <w:r>
        <w:t>I evaluate models using a 5-fold expanding-window walk-forward validation scheme (2020--2024) to eliminate lookahead bias. My empirical findings demonstrate that deep sequence models outperform traditional linear models (Fama-MacBeth OLS, LASSO) and decision tree ensembles (Random Forest, XGBoost). Specifically, the custom Temporal Fusion Deep Multimodal Gated Attention (TFDMGA) network achieves top out-of-sample predictive accuracy (IC = +0.0348, ICIR = 3.12, ROC AUC = 0.6120, Accuracy = 56.84\%). A Diebold-Mariano test confirms statistical significance over standard LSTM models (DM = 2.41, p = 0.016).</w:t>
      </w:r>
    </w:p>
    <w:p>
      <w:r>
        <w:t>In backtested portfolios subject to 10 bps transaction costs and 1-day execution delays, an initial \1,000 USD deposit grows to \3,120.99 USD under the baseline LSTM strategy. Adding a 2:1 Take-Profit/Stop-Loss risk management overlay increases capital compounding to \4,368.50 USD for LSTM and \6,482.10 USD for TFDMGA. Finally, Fama-French 5-factor spanning regressions yield an estimated net alpha of  = -0.18\% per year (p = 0.976, R^2 = 41.2\%). The absence of excess alpha indicates that machine learning strategy returns reflect dynamic systematic factor risk compensation rather than unpriced arbitrage.</w:t>
      </w:r>
    </w:p>
    <w:p>
      <w:r>
        <w:t>1cm</w:t>
      </w:r>
    </w:p>
    <w:p>
      <w:r>
        <w:t>Keywords: Machine Learning, Empirical Asset Pricing, Cross-Sectional Return Prediction, Deep Learning, Transformer Attention, Fama-French Spanning, Transaction Costs, Walk-Forward Optimization.</w:t>
      </w:r>
    </w:p>
    <w:p>
      <w:r>
        <w:t>empty</w:t>
      </w:r>
    </w:p>
    <w:p>
      <w:r>
        <w:t>*4.0cm</w:t>
      </w:r>
    </w:p>
    <w:p>
      <w:r>
        <w:t>[width=0.75]figures/arabic_text_font.pdf</w:t>
      </w:r>
    </w:p>
    <w:p>
      <w:r>
        <w:t>0.6cm</w:t>
      </w:r>
    </w:p>
    <w:p>
      <w:r>
        <w:t>``And say, `My Lord, increase me in knowledge.'\,''\\[1.0cm]</w:t>
      </w:r>
    </w:p>
    <w:p>
      <w:r>
        <w:t>--- The Holy Qur'an, Surah Ta-Ha (20:114)</w:t>
      </w:r>
    </w:p>
    <w:p>
      <w:r>
        <w:t>tocchapterAcknowledgements</w:t>
      </w:r>
    </w:p>
    <w:p>
      <w:r>
        <w:t>4pt</w:t>
      </w:r>
    </w:p>
    <w:p>
      <w:r>
        <w:t>First and foremost, I would like to express my sincere gratitude to my supervisor, Prof.\ Giuseppina Chesini, for her continuous guidance, support, and valuable suggestions throughout the development of this thesis. Her patience, knowledge, and encouragement helped me overcome challenges and complete this research successfully.</w:t>
      </w:r>
    </w:p>
    <w:p>
      <w:r>
        <w:t>I would like to thank all the faculty members of the Department of Economics and Data Analysis at the University of Verona. Each professor who taught me during this journey contributed to my academic and personal growth. I am grateful for their support, kindness, and willingness to help whenever I needed guidance.</w:t>
      </w:r>
    </w:p>
    <w:p>
      <w:r>
        <w:t>A special thank you goes to the University of Verona for giving a student from Mumbai, India, the opportunity to experience international education and become part of a global academic community. Coming to Italy was a life-changing decision, and this university gave me the chance to learn, grow, and discover a world beyond my own. I will always be grateful for the opportunities, memories, and experiences that I gained here.</w:t>
      </w:r>
    </w:p>
    <w:p>
      <w:r>
        <w:t>I would also like to sincerely thank ESU Verona and the Borsa di Studio scholarship programme for their financial support. Their assistance made my life as an international student much easier and allowed me to focus on my studies without constantly worrying about financial difficulties. This support played an important role in helping me complete my Master's journey.</w:t>
      </w:r>
    </w:p>
    <w:p>
      <w:r>
        <w:t>I want to give a special thanks to all my classmates and friends who became my family away from home. Moving to a foreign country was not easy, but your friendship, kindness, and support made Italy feel like home. The conversations, shared meals, study sessions, celebrations, and even the difficult moments we faced together are memories that I will carry with me forever. The friendships I built here are among the most valuable parts of this journey.</w:t>
      </w:r>
    </w:p>
    <w:p>
      <w:r>
        <w:t>I would also like to thank the open-source community and researchers whose work, tools, and resources contributed to making this research possible.</w:t>
      </w:r>
    </w:p>
    <w:p>
      <w:r>
        <w:t>Finally, I would like to dedicate my deepest gratitude to my family, especially my father. My father was the first person who believed in me and supported my dream of studying abroad. His faith in me, constant motivation, sacrifices, and encouragement gave me the strength to continue even during the hardest moments. Whenever I felt uncertain, he reminded me to believe in myself and keep moving forward. Everything I have achieved today is possible because of his support and the confidence he always had in me. I am also grateful to my mother, my sister, and my entire family for their love, prayers, patience, and support throughout this journey.</w:t>
      </w:r>
    </w:p>
    <w:p>
      <w:r>
        <w:t>Looking back, this journey from Mumbai to Verona has been one of the most important chapters of my life. It was not always easy, but every challenge, every late night studying, every exam, every deadline, and every small success helped me become the person I am today. The University of Verona will always hold a special place in my heart.</w:t>
      </w:r>
    </w:p>
    <w:p>
      <w:r>
        <w:t>0.6cm</w:t>
      </w:r>
    </w:p>
    <w:p>
      <w:r>
        <w:t>Murtuza Rangwala\\</w:t>
      </w:r>
    </w:p>
    <w:p>
      <w:r>
        <w:t>Master of Economics and Data Analysis\\</w:t>
      </w:r>
    </w:p>
    <w:p>
      <w:r>
        <w:t>University of Verona</w:t>
      </w:r>
    </w:p>
    <w:p>
      <w:r>
        <w:t>arabic</w:t>
      </w:r>
    </w:p>
    <w:p>
      <w:r>
        <w:t>chapters/introduction</w:t>
      </w:r>
    </w:p>
    <w:p>
      <w:r>
        <w:t>chapters/literature_review</w:t>
      </w:r>
    </w:p>
    <w:p>
      <w:r>
        <w:t>chapters/data_and_methodology</w:t>
      </w:r>
    </w:p>
    <w:p>
      <w:r>
        <w:t>chapters/empirical_results</w:t>
      </w:r>
    </w:p>
    <w:p>
      <w:r>
        <w:t>chapters/conclusion</w:t>
      </w:r>
    </w:p>
    <w:p>
      <w:r>
        <w:t>tocchapterBibliography</w:t>
      </w:r>
    </w:p>
    <w:p>
      <w:r>
        <w:t>references</w:t>
      </w:r>
    </w:p>
    <w:p>
      <w:r>
        <w:br w:type="page"/>
      </w:r>
    </w:p>
    <w:p>
      <w:pPr>
        <w:spacing w:before="240" w:after="120"/>
        <w:ind w:firstLine="0"/>
      </w:pPr>
      <w:r>
        <w:rPr>
          <w:rFonts w:ascii="Times New Roman" w:hAnsi="Times New Roman"/>
          <w:b/>
          <w:color w:val="0A2240"/>
          <w:sz w:val="28"/>
        </w:rPr>
        <w:t>Introduction</w:t>
      </w:r>
    </w:p>
    <w:p>
      <w:pPr>
        <w:spacing w:before="200" w:after="80"/>
        <w:ind w:firstLine="0"/>
      </w:pPr>
      <w:r>
        <w:rPr>
          <w:rFonts w:ascii="Times New Roman" w:hAnsi="Times New Roman"/>
          <w:b/>
          <w:color w:val="0A2240"/>
          <w:sz w:val="28"/>
        </w:rPr>
        <w:t>Background and Economic Motivation</w:t>
      </w:r>
    </w:p>
    <w:p>
      <w:r>
        <w:t>At its core, empirical asset pricing seeks to answer a fundamental question in quantitative finance: why do different stocks earn different returns over time, and how well do asset prices reflect available information? (fama1970efficient, fama1993common). For decades, the primary academic approach relied on linear factor models. Starting with Markowitz's (markowitz1952portfolio) mean-variance framework, asset pricing evolved through the Capital Asset Pricing Model (CAPM) of (sharpe1964capital) and (lintner1965valuation), Ross's (ross1976arbitrage) Arbitrage Pricing Theory, Carhart's (carhart1997on) four-factor momentum model, P\'astor and Stambaugh's (pastor2003liquidity) liquidity factor, Hou, Xue, and Zhang's (hou2015digesting) q-factor model, and Fama and French's (fama2015five) five-factor model. These traditional frameworks share a common mathematical assumption: expected stock returns can be adequately modeled as a linear combination of a small set of static risk factors.</w:t>
      </w:r>
    </w:p>
    <w:p>
      <w:r>
        <w:t>However, financial markets rarely follow neat linear assumptions. Cross-sectional stock data is noisy, high-dimensional, and shaped by non-linear relationships, changing market regimes, and complex feature interactions. As (gu2020empirical) and (kozak2020shrinking) note, standard Ordinary Least Squares (OLS) regressions face significant challenges in these settings. When faced with dozens of firm-level financial ratios, macroeconomic indicators, and technical signals, linear models can suffer from omitted variable bias on one hand or overfitting on the other. Linear models struggle to capture state-dependent interactions—such as how a valuation ratio behaves during market crises compared to quiet economic expansions—and they cannot easily separate signal from high-frequency noise.</w:t>
      </w:r>
    </w:p>
    <w:p>
      <w:r>
        <w:t>To address these limitations, machine learning (ML) and deep learning sequence architectures have increasingly been applied in empirical asset pricing (gu2020empirical, gu2021autoencoder, chen2023deep, kozak2020shrinking, freyberger2020dissecting, kelly2019characteristics). From regularized linear models (tibshirani1996regression, zou2005regularization) and decision tree ensembles (breiman2001random, friedman2001greedy, chen2016xgboost) to temporal convolutional encoders (bai2018empirical) and multi-modal Transformer networks (vaswani2017attention, lim2021temporal), modern ML techniques provide the flexibility needed to extract feature interactions, non-parametric mappings, and dynamic temporal patterns directly from financial data.</w:t>
      </w:r>
    </w:p>
    <w:p>
      <w:r>
        <w:t>At the same time, applying machine learning to financial markets differs fundamentally from standard image or text classification. Financial return series are known for low signal-to-noise ratios, non-stationary distributions, heavy-tailed risk, and sudden structural breaks (lopez2018advances, lopez2020machine). Furthermore, empirical findings in the literature can sometimes be affected by lookahead bias, survivorship bias, multiple testing inflation (harvey2016and, harvey2020false, hou2020replicating), and unmodeled transaction cost friction (novy2016taxonomy, mclean2016does, avramov2023machine). Without out-of-sample walk-forward validation and realistic transaction cost modeling, statistical signals identified on paper often vanish once real-world execution costs and turnover drag are taken into account.</w:t>
      </w:r>
    </w:p>
    <w:p>
      <w:r>
        <w:t>In this thesis, I address these core challenges directly. I conduct an empirical evaluation of machine learning models for cross-sectional return prediction across S\&amp;P 500 constituent equities over the ten-year period from 2015 through 2024.</w:t>
      </w:r>
    </w:p>
    <w:p>
      <w:pPr>
        <w:spacing w:before="200" w:after="80"/>
        <w:ind w:firstLine="0"/>
      </w:pPr>
      <w:r>
        <w:rPr>
          <w:rFonts w:ascii="Times New Roman" w:hAnsi="Times New Roman"/>
          <w:b/>
          <w:color w:val="0A2240"/>
          <w:sz w:val="28"/>
        </w:rPr>
        <w:t>Research Questions and Core Hypotheses</w:t>
      </w:r>
    </w:p>
    <w:p>
      <w:r>
        <w:t>To evaluate the predictive performance and economic viability of machine learning in equity asset pricing, I frame my research around four central questions:</w:t>
      </w:r>
    </w:p>
    <w:p>
      <w:r>
        <w:t>[Research Question 1 (Statistical Predictability):] Do non-linear machine learning models (Random Forest, XGBoost, LSTM, TFDMGA) achieve statistically significant out-of-sample cross-sectional return predictability compared to traditional linear econometric baselines (Fama-MacBeth OLS, LASSO, ElasticNet)?</w:t>
      </w:r>
    </w:p>
    <w:p>
      <w:r>
        <w:t>Hypothesis 1: Non-linear models—particularly sequence-aware deep neural networks (bai2018empirical, chen2023deep)—outperform linear baselines in out-of-sample Information Coefficient (IC), Information Ratio (ICIR), and Directional Accuracy by capturing non-parametric characteristic interactions and dynamic temporal dependencies.</w:t>
      </w:r>
    </w:p>
    <w:p>
      <w:r>
        <w:t>[Research Question 2 (Multi-Modal Information Integration):] Does combining high-frequency technical indicators, quarterly Bloomberg fundamental ratios, macroeconomic state variables, and news/social sentiment within a dynamic gating architecture produce more accurate predictions than relying on a single modality?</w:t>
      </w:r>
    </w:p>
    <w:p>
      <w:r>
        <w:t>Hypothesis 2: Combining multi-modal sequences (cong2021textual, lim2021temporal) allows dynamic attention mechanisms to reweight input modalities as macroeconomic conditions change, resulting in higher out-of-sample correlation and lower signal volatility.</w:t>
      </w:r>
    </w:p>
    <w:p>
      <w:r>
        <w:t>[Research Question 3 (Economic Significance \&amp; Transaction Friction):] Can out-of-sample return forecasts generate profitable trading strategies after accounting for transaction frictions (10 bps round-trip transaction costs, execution delay, turnover, and stop-loss risk management)?</w:t>
      </w:r>
    </w:p>
    <w:p>
      <w:r>
        <w:t>Hypothesis 3: While daily-rebalanced portfolios experience performance drag under 10 bps transaction fees (novy2016taxonomy, avramov2023machine), deep sequence models paired with dynamic take-profit/stop-loss overlays help control drawdowns and compound capital over time.</w:t>
      </w:r>
    </w:p>
    <w:p>
      <w:r>
        <w:t>[Research Question 4 (Econometric Factor Spanning \&amp; Market Efficiency):] Are the out-of-sample returns generated by deep learning models indicative of unpriced market alpha ( &gt; 0), or are they fully spanned by systematic risk factors ( = 0) within the Fama-French 5-Factor framework?</w:t>
      </w:r>
    </w:p>
    <w:p>
      <w:r>
        <w:t>Hypothesis 4: Out-of-sample portfolio returns generated by deep neural networks are accounted for by systematic factor risk exposures (Mkt-RF, SMB, HML, RMW, CMA) (fama2015five, kelly2019characteristics), suggesting that machine learning models act as dynamic factor allocation engines rather than discoverers of unpriced market arbitrage.</w:t>
      </w:r>
    </w:p>
    <w:p>
      <w:pPr>
        <w:spacing w:before="200" w:after="80"/>
        <w:ind w:firstLine="0"/>
      </w:pPr>
      <w:r>
        <w:rPr>
          <w:rFonts w:ascii="Times New Roman" w:hAnsi="Times New Roman"/>
          <w:b/>
          <w:color w:val="0A2240"/>
          <w:sz w:val="28"/>
        </w:rPr>
        <w:t>Summary of Key Empirical Findings</w:t>
      </w:r>
    </w:p>
    <w:p>
      <w:r>
        <w:t>Using a 5-fold expanding-window walk-forward evaluation protocol over the 2020--2024 out-of-sample period (detailed in Section sec:ch4_baselines and Chapter ch:ml_and_backtesting), my main findings are as follows:</w:t>
      </w:r>
    </w:p>
    <w:p>
      <w:r>
        <w:t>Performance in Return Rank Forecasting: The model I introduce—the Temporal Fusion Deep Multimodal Gated Attention (TFDMGA) network—achieves the highest predictive accuracy among the tested models, yielding an out-of-sample daily Information Coefficient of IC = +0.0348, an Information Ratio of ICIR = 3.12, a ROC AUC of 0.6120, and a cross-sectional directional accuracy of 56.84\%.</w:t>
      </w:r>
    </w:p>
    <w:p>
      <w:r>
        <w:t>Statistical Comparison with Baseline Sequence Models: A formal (diebold1995comparing) forecast accuracy test with (harvey1997testing) small-sample corrections indicates that TFDMGA shows statistically significant performance gains over a standard PyTorch LSTM baseline (DM = 2.41, p = 0.016), supporting the structural benefits of cross-modal ring attention and dynamic macro gating.</w:t>
      </w:r>
    </w:p>
    <w:p>
      <w:r>
        <w:t>Capital Compounding Trajectory: Under a realistic 10 bps round-trip transaction cost assumption and a 1-day execution buffer (novy2016taxonomy), an initial deposit of \1,000 USD at the start of the out-of-sample period (January 2020) grows to \3,120.99 USD under the baseline LSTM Quintile 5 (Q_5) long strategy, and reaches \4,368.50 USD when paired with a 2:1 Take-Profit/Stop-Loss (TPSL) risk overlay. Evaluated under the TFDMGA network with the TPSL overlay, capital compounds to \6,482.10 USD by December 2024 (see Table tab:ch6_account_growth in Chapter ch:ml_and_backtesting).</w:t>
      </w:r>
    </w:p>
    <w:p>
      <w:r>
        <w:t>Fama-French 5-Factor Spanning \&amp; Factor Timing: Spanning regressions of net strategy excess returns against the (fama2015five) 5-factor model yield an estimated net alpha of  = -0.18\% per year, which is statistically indistinguishable from zero (p = 0.976, R^2 = 41.2\%). This indicates that the strategy's returns are explained by dynamic exposure to systematic factor risks—specifically operating profitability (RMW beta = +0.512, t = +9.12)—consistent with factor spanning and market efficiency (fama1970efficient).</w:t>
      </w:r>
    </w:p>
    <w:p>
      <w:pPr>
        <w:spacing w:before="200" w:after="80"/>
        <w:ind w:firstLine="0"/>
      </w:pPr>
      <w:r>
        <w:rPr>
          <w:rFonts w:ascii="Times New Roman" w:hAnsi="Times New Roman"/>
          <w:b/>
          <w:color w:val="0A2240"/>
          <w:sz w:val="28"/>
        </w:rPr>
        <w:t>Structure of the Thesis Manuscript</w:t>
      </w:r>
    </w:p>
    <w:p>
      <w:r>
        <w:t>The remainder of this thesis is organized as follows:</w:t>
      </w:r>
    </w:p>
    <w:p>
      <w:r>
        <w:t>Chapter 2 (Literature Review) surveys foundational academic work across empirical asset pricing, factor pricing models, high-dimensional regularization, and financial machine learning.</w:t>
      </w:r>
    </w:p>
    <w:p>
      <w:r>
        <w:t>Chapter 3 (Data \&amp; Feature Engineering Architecture) describes the point-in-time Bloomberg data pipeline, constituent panel construction, the 59-variable feature taxonomy across four modalities, and cross-sectional rank normalization routines.</w:t>
      </w:r>
    </w:p>
    <w:p>
      <w:r>
        <w:t>Chapter 4 (Methodology \&amp; Model Architectures) presents the mathematical formulations for all baseline models (Fama-MacBeth OLS, LASSO, ElasticNet, Random Forest, XGBoost, LSTM) and details the TFDMGA network architecture, as well as the 5-fold expanding-window walk-forward protocol.</w:t>
      </w:r>
    </w:p>
    <w:p>
      <w:r>
        <w:t>Chapter 5 (Baseline Econometric Results \&amp; Feature Interpretability) examines daily Fama-MacBeth factor risk premia, analyzes why standard LASSO collapses under cross-sectional MSE loss, and evaluates feature importance using SHAP values (lundberg2017unified).</w:t>
      </w:r>
    </w:p>
    <w:p>
      <w:r>
        <w:t>Chapter 6 (Out-of-Sample Performance, Backtesting \&amp; Portfolio Compounding) details out-of-sample predictive performance, transaction cost sensitivity grids (0, 5, 10, 20 bps), wealth compounding trajectories, and Fama-French factor spanning regressions.</w:t>
      </w:r>
    </w:p>
    <w:p>
      <w:r>
        <w:t>Chapter 7 (Conclusion \&amp; Future Extensions) summarizes my findings, discusses theoretical and practical implications, addresses study limitations, and outlines directions for future research.</w:t>
      </w:r>
    </w:p>
    <w:p>
      <w:r>
        <w:br w:type="page"/>
      </w:r>
    </w:p>
    <w:p>
      <w:pPr>
        <w:spacing w:before="240" w:after="120"/>
        <w:ind w:firstLine="0"/>
      </w:pPr>
      <w:r>
        <w:rPr>
          <w:rFonts w:ascii="Times New Roman" w:hAnsi="Times New Roman"/>
          <w:b/>
          <w:color w:val="0A2240"/>
          <w:sz w:val="28"/>
        </w:rPr>
        <w:t>Literature Review</w:t>
      </w:r>
    </w:p>
    <w:p>
      <w:pPr>
        <w:spacing w:before="200" w:after="80"/>
        <w:ind w:firstLine="0"/>
      </w:pPr>
      <w:r>
        <w:rPr>
          <w:rFonts w:ascii="Times New Roman" w:hAnsi="Times New Roman"/>
          <w:b/>
          <w:color w:val="0A2240"/>
          <w:sz w:val="28"/>
        </w:rPr>
        <w:t>Introduction</w:t>
      </w:r>
    </w:p>
    <w:p>
      <w:r>
        <w:t>The literature on cross-sectional stock return predictability and empirical asset pricing has evolved significantly over the past six decades. Early asset pricing theory established that in competitive, friction-free markets, asset prices reflect publicly available information (fama1970efficient), and expected excess returns are determined by systemic, un-diversifiable risk exposures (sharpe1964capital, lintner1965valuation). Econometric developments later operationalized these principles through multi-factor cross-sectional regression frameworks (fama1973risk, ross1976arbitrage, fama1993common, fama2015five).</w:t>
      </w:r>
    </w:p>
    <w:p>
      <w:r>
        <w:t>However, the rapid growth of financial databases and computing power led to what (cochrane2011discount) termed the ``factor zoo''—a proliferation of hundreds of published cross-sectional anomalies claiming to generate alpha. In response, modern financial econometrics has largely split into two complementary directions: (i) statistical auditing of data-mining inflation and multiple testing bias (harvey2016and, harvey2020false, hou2020replicating), and (ii) high-dimensional regularized estimation and non-parametric machine learning (kozak2020shrinking, freyberger2020dissecting, gu2020empirical, chen2023deep).</w:t>
      </w:r>
    </w:p>
    <w:p>
      <w:r>
        <w:t>In this chapter, I synthesize the asset pricing and econometric literature. I organize the review around six main thematic pillars that ground the theoretical framework, model architecture, feature selection, and statistical inference used in this thesis:</w:t>
      </w:r>
    </w:p>
    <w:p>
      <w:r>
        <w:t>Theoretical Asset Pricing Foundations: From the single-factor equilibrium of CAPM and APT to the multi-factor models of Fama-French, Carhart, and Pastor-Stambaugh.</w:t>
      </w:r>
    </w:p>
    <w:p>
      <w:r>
        <w:t>The Factor Zoo, Multiple Testing, and Shrinkage: Multiple testing inflation, false discovery rates, and high-dimensional regularized SDF estimation.</w:t>
      </w:r>
    </w:p>
    <w:p>
      <w:r>
        <w:t>High-Dimensional SDF Estimation \&amp; Characteristic Interactions: Non-parametric characteristic selection, latent factor models, and dynamic risk loadings.</w:t>
      </w:r>
    </w:p>
    <w:p>
      <w:r>
        <w:t>Machine Learning \&amp; Deep Learning Paradigms: Non-linear empirical asset pricing, instrumented principal components, and deep sequence SDF models.</w:t>
      </w:r>
    </w:p>
    <w:p>
      <w:r>
        <w:t>Financial Time-Series Econometrics \&amp; Inference: HAC covariance estimation, out-of-sample forecast accuracy tests, and data-mining diagnostics.</w:t>
      </w:r>
    </w:p>
    <w:p>
      <w:r>
        <w:t>Financial ML Protocols \&amp; Overfitting Mitigation: Backtesting rules, expanding walk-forward splits, microstructural frictions, and transaction cost frameworks.</w:t>
      </w:r>
    </w:p>
    <w:p>
      <w:r>
        <w:t>---</w:t>
      </w:r>
    </w:p>
    <w:p>
      <w:pPr>
        <w:spacing w:before="200" w:after="80"/>
        <w:ind w:firstLine="0"/>
      </w:pPr>
      <w:r>
        <w:rPr>
          <w:rFonts w:ascii="Times New Roman" w:hAnsi="Times New Roman"/>
          <w:b/>
          <w:color w:val="0A2240"/>
          <w:sz w:val="28"/>
        </w:rPr>
        <w:t>Theoretical Asset Pricing Foundations</w:t>
      </w:r>
    </w:p>
    <w:p>
      <w:pPr>
        <w:spacing w:before="160" w:after="80"/>
        <w:ind w:firstLine="0"/>
      </w:pPr>
      <w:r>
        <w:rPr>
          <w:rFonts w:ascii="Times New Roman" w:hAnsi="Times New Roman"/>
          <w:b/>
          <w:sz w:val="24"/>
        </w:rPr>
        <w:t>Equilibrium Foundations: The CAPM and Arbitrage Pricing Theory</w:t>
      </w:r>
    </w:p>
    <w:p>
      <w:r>
        <w:t>Modern quantitative finance originates with the mean-variance portfolio theory of (markowitz1952portfolio) and the Capital Asset Pricing Model (CAPM) developed by (sharpe1964capital) and (lintner1965valuation). Under the assumptions of homogeneous investor expectations, frictionless markets, and quadratic utility or normal return distributions, investors hold identical portfolios of risky assets weighted by market capitalizations. As a result, the market portfolio R_m is mean-variance efficient, and an asset's expected return is linearly related to its covariance with the aggregate market portfolio:</w:t>
      </w:r>
    </w:p>
    <w:p>
      <w:r>
        <w:t>E[R_i,t] - R_f,t = _i,m ( E[R_m,t] - R_f,t )</w:t>
      </w:r>
    </w:p>
    <w:p>
      <w:r>
        <w:t>where the market beta _i,m = Cov(R_i,t, R_m,t)Var(R_m,t) measures systemic market risk. (black1972capital) relaxed the assumption of risk-free borrowing, introducing the zero-beta CAPM and showing that the security market line remains linear but exhibits a higher intercept and flatter slope when borrowing constraints bind.</w:t>
      </w:r>
    </w:p>
    <w:p>
      <w:r>
        <w:t>Recognizing the strict equilibrium assumptions of the CAPM, (ross1976arbitrage) formulated the Arbitrage Pricing Theory (APT). Based on the absence of asymptotic arbitrage rather than general equilibrium, APT posits that asset returns follow a K-factor linear generative structure:</w:t>
      </w:r>
    </w:p>
    <w:p>
      <w:r>
        <w:t>R_i,t &amp;= E[R_i,t] + _k=1^K _i,k\, f_k,t + _i,t</w:t>
      </w:r>
    </w:p>
    <w:p>
      <w:r>
        <w:t>where f_k,t represent mean-zero common macroeconomic risk factors, _i,k are factor loadings, and _i,t is an idiosyncratic error satisfying Cov(_i,t,\,_j,t)=0 for all i  j. By applying linear pricing space arguments in infinite-dimensional Hilbert spaces, Ross showed that expected returns are linearly spanned by factor risk premia _k:</w:t>
      </w:r>
    </w:p>
    <w:p>
      <w:r>
        <w:t>E[R_i,t] - R_f,t = _k=1^K _i,k _k</w:t>
      </w:r>
    </w:p>
    <w:p>
      <w:pPr>
        <w:spacing w:before="160" w:after="80"/>
        <w:ind w:firstLine="0"/>
      </w:pPr>
      <w:r>
        <w:rPr>
          <w:rFonts w:ascii="Times New Roman" w:hAnsi="Times New Roman"/>
          <w:b/>
          <w:sz w:val="24"/>
        </w:rPr>
        <w:t>The Fama-MacBeth Two-Pass Regression Framework</w:t>
      </w:r>
    </w:p>
    <w:p>
      <w:r>
        <w:t>To empirically test whether factor loadings explain the cross-section of expected returns, (fama1973risk) established the classic two-pass regression methodology. In the first pass, time-series regressions are conducted for each asset i over an estimation window T_1 to estimate factor loadings _i,k:</w:t>
      </w:r>
    </w:p>
    <w:p>
      <w:r>
        <w:t>R_i,t - R_f,t = _i + _k=1^K _i,k f_k,t + _i,t,  t = 1, , T_1</w:t>
      </w:r>
    </w:p>
    <w:p>
      <w:r>
        <w:t>In the second pass, cross-sectional regressions are executed at each time step t over an evaluation window T_2 using the estimated factor loadings as explanatory variables:</w:t>
      </w:r>
    </w:p>
    <w:p>
      <w:r>
        <w:t>R_i,t - R_f,t = _0,t + _k=1^K _i,k _k,t + u_i,t,  i = 1, , N</w:t>
      </w:r>
    </w:p>
    <w:p>
      <w:r>
        <w:t>The point estimates of factor risk premia _k and their standard errors are obtained by averaging the cross-sectional slope coefficients across time:</w:t>
      </w:r>
    </w:p>
    <w:p>
      <w:r>
        <w:t>_k = 1T_2 _t=1^T_2 _k,t,  SE(_k) = 1T_2(T_2-1) _t=1^T_2 ( _k,t - _k )^2</w:t>
      </w:r>
    </w:p>
    <w:p>
      <w:r>
        <w:t>While standard Fama-MacBeth standard errors assume cross-sectional independence and zero serial correlation, modern implementations incorporate Heteroskedasticity and Autocorrelation Consistent (HAC) corrections (newey1987simple) and (shanken1992on) corrections for generated regressor error in _i,k.</w:t>
      </w:r>
    </w:p>
    <w:p>
      <w:pPr>
        <w:spacing w:before="160" w:after="80"/>
        <w:ind w:firstLine="0"/>
      </w:pPr>
      <w:r>
        <w:rPr>
          <w:rFonts w:ascii="Times New Roman" w:hAnsi="Times New Roman"/>
          <w:b/>
          <w:sz w:val="24"/>
        </w:rPr>
        <w:t>Multi-Factor Models: Fama-French, Carhart, and Pastor-Stambaugh</w:t>
      </w:r>
    </w:p>
    <w:p>
      <w:r>
        <w:t>Empirical challenges to the single-factor CAPM increased during the late 1980s and early 1990s as cross-sectional anomalies emerged. (fama1992cross) showed that firm size (market capitalization) and book-to-market equity ratio (B/M) absorbed much of the cross-sectional explanatory power of market beta. To formalize these empirical findings, (fama1993common) introduced the Fama-French Three-Factor Model:</w:t>
      </w:r>
    </w:p>
    <w:p>
      <w:r>
        <w:t>R_i,t - R_f,t = _i + _i,1 (R_m,t - R_f,t) + _i,2 SMB_t + _i,3 HML_t + e_i,t</w:t>
      </w:r>
    </w:p>
    <w:p>
      <w:r>
        <w:t>where SMB_t (Small Minus Big) captures the size effect, and HML_t (High Minus Low) captures the value effect.</w:t>
      </w:r>
    </w:p>
    <w:p>
      <w:r>
        <w:t>Observing that the three-factor model failed to price the cross-sectional price momentum phenomenon identified by (jegadeesh1993returns), (carhart1997on) expanded the framework into a Four-Factor Model by adding a momentum factor (WML_t, Winners Minus Losers):</w:t>
      </w:r>
    </w:p>
    <w:p>
      <w:r>
        <w:t>R_i,t - R_f,t = _i + _i,1 (R_m,t - R_f,t) + _i,2 SMB_t + _i,3 HML_t + _i,4 WML_t + e_i,t</w:t>
      </w:r>
    </w:p>
    <w:p>
      <w:r>
        <w:t>In parallel, (pastor2003liquidity) showed that market-wide liquidity is an un-diversifiable risk factor. Stocks with high sensitivity to aggregate market liquidity fluctuations command higher expected returns to compensate investors for illiquidity shocks during market downturns.</w:t>
      </w:r>
    </w:p>
    <w:p>
      <w:r>
        <w:t>To address profitability and investment anomalies, (fama2015five) extended their three-factor model to a Five-Factor Asset Pricing Model:</w:t>
      </w:r>
    </w:p>
    <w:p>
      <w:r>
        <w:t>R_i,t - R_f,t &amp;= _i + _i,1 (R_m,t - R_f,t) + _i,2\, SMB_t + _i,3\, HML_t  \\</w:t>
      </w:r>
    </w:p>
    <w:p>
      <w:r>
        <w:t>&amp; + _i,4\, RMW_t + _i,5\, CMA_t + e_i,t</w:t>
      </w:r>
    </w:p>
    <w:p>
      <w:r>
        <w:t>where RMW_t (Robust Minus Weak) measures the profit margin return differential, and CMA_t (Conservative Minus Aggressive) captures investment intensity differentials. Grounded theoretically in the dividend discount model, (fama2015five) showed that holding book-to-market fixed, higher expected earnings imply higher expected returns, while higher expected investment rates lower expected returns. Concurrently, (hou2015digesting) established the q-factor model (Mkt, ME, I/A, ROE), showing that investment and profitability factors derived from q-theory span a wide range of cross-sectional anomalies.</w:t>
      </w:r>
    </w:p>
    <w:p>
      <w:r>
        <w:t>---</w:t>
      </w:r>
    </w:p>
    <w:p>
      <w:pPr>
        <w:spacing w:before="200" w:after="80"/>
        <w:ind w:firstLine="0"/>
      </w:pPr>
      <w:r>
        <w:rPr>
          <w:rFonts w:ascii="Times New Roman" w:hAnsi="Times New Roman"/>
          <w:b/>
          <w:color w:val="0A2240"/>
          <w:sz w:val="28"/>
        </w:rPr>
        <w:t>The Factor Zoo Controversy, Multiple Testing, and Shrinkage</w:t>
      </w:r>
    </w:p>
    <w:p>
      <w:pPr>
        <w:spacing w:before="160" w:after="80"/>
        <w:ind w:firstLine="0"/>
      </w:pPr>
      <w:r>
        <w:rPr>
          <w:rFonts w:ascii="Times New Roman" w:hAnsi="Times New Roman"/>
          <w:b/>
          <w:sz w:val="24"/>
        </w:rPr>
        <w:t>The Proliferation of Anomalies and Cochrane's "Factor Zoo"</w:t>
      </w:r>
    </w:p>
    <w:p>
      <w:r>
        <w:t>By the early 2010s, academic literature had documented over 300 firm characteristics claiming to predict stock returns. In his American Finance Association presidential address, (cochrane2011discount) famously diagnosed this proliferation as the ``factor zoo.'' Cochrane noted that while early theoretical models assumed a small number of macro risk factors span expected returns, the literature had created a large collection of firm characteristics without establishing whether candidate factors were incremental to existing benchmarks or merely duplicate representations of underlying noise.</w:t>
      </w:r>
    </w:p>
    <w:p>
      <w:r>
        <w:t>This issue was compounded by post-publication return decay. (mclean2016does) examined 97 published cross-sectional anomalies and documented that out-of-sample anomaly portfolio returns decline by an average of 26\% after academic publication and up to 58\% after original sample periods. This decay stems from a combination of market learning (arbitrage capital exploiting newly disclosed anomalies) and data-mining biases in published literature.</w:t>
      </w:r>
    </w:p>
    <w:p>
      <w:pPr>
        <w:spacing w:before="160" w:after="80"/>
        <w:ind w:firstLine="0"/>
      </w:pPr>
      <w:r>
        <w:rPr>
          <w:rFonts w:ascii="Times New Roman" w:hAnsi="Times New Roman"/>
          <w:b/>
          <w:sz w:val="24"/>
        </w:rPr>
        <w:t>Multiple Testing Inflation and False Discovery Rates</w:t>
      </w:r>
    </w:p>
    <w:p>
      <w:r>
        <w:t>The main statistical cause of factor zoo inflation was analyzed by (harvey2016and). Traditional empirical asset pricing evaluated candidate factors using single-hypothesis Student's t-tests with standard significance thresholds (|t| &gt; 1.96, corresponding to  = 0.05). However, when hundreds of candidate signals are evaluated on the same datasets, standard significance cutoffs produce high false discovery rates due to multiple hypothesis testing.</w:t>
      </w:r>
    </w:p>
    <w:p>
      <w:r>
        <w:t>(harvey2016and) evaluated over 300 published anomaly factors under multiple testing adjustments (including Bonferroni corrections and Holm-Bonferroni procedures). They showed that to maintain a true False Discovery Rate (FDR) below 5\%, the minimum t-statistic cutoff for newly proposed asset pricing factors should be elevated to at least:</w:t>
      </w:r>
    </w:p>
    <w:p>
      <w:r>
        <w:t>|t| &gt; 3.0  (p -value &lt; 0.0027)</w:t>
      </w:r>
    </w:p>
    <w:p>
      <w:r>
        <w:t>Extending this framework, (harvey2020false) introduced Bayesian FDR frameworks that account for prior belief distributions on true alpha. In a large replication audit, (hou2020replicating) re-examined 452 cross-sectional anomalies under microcap exclusions and value-weighted portfolio rules. They showed that 65\% of published anomalies fail to achieve statistical significance at standard |t| &gt; 1.96 thresholds, and over 85\% fail under the |t| &gt; 3.0 threshold proposed by (harvey2016and).</w:t>
      </w:r>
    </w:p>
    <w:p>
      <w:pPr>
        <w:spacing w:before="160" w:after="80"/>
        <w:ind w:firstLine="0"/>
      </w:pPr>
      <w:r>
        <w:rPr>
          <w:rFonts w:ascii="Times New Roman" w:hAnsi="Times New Roman"/>
          <w:b/>
          <w:sz w:val="24"/>
        </w:rPr>
        <w:t>High-Dimensional Regularized SDF Estimation</w:t>
      </w:r>
    </w:p>
    <w:p>
      <w:r>
        <w:t>To address the factor zoo problem structurally, econometricians re-framed asset pricing as a high-dimensional regularized Stochastic Discount Factor (SDF) estimation problem. In a stochastic discount factor framework, an asset pricing model specifies a scalar pricing kernel M_t+1 such that for all excess returns R_i,t+1:</w:t>
      </w:r>
    </w:p>
    <w:p>
      <w:r>
        <w:t>E_t [ M_t+1 R_i,t+1 ] = 0</w:t>
      </w:r>
    </w:p>
    <w:p>
      <w:r>
        <w:t>When the SDF is parameterized as a linear combination of a high-dimensional vector of K candidate characteristics or factor returns z_t+1, i.e., M_t+1 = 1 - b^T (z_t+1 - E[z_t+1]), unregularized sample estimators fail due to multicollinearity and K  T sample noise.</w:t>
      </w:r>
    </w:p>
    <w:p>
      <w:r>
        <w:t>(kozak2020shrinking) showed that shrinking the factor weighting vector b via combined L_1 (LASSO) and L_2 (Ridge) regularization yields robust, out-of-sample optimal SDF estimators. The regularized SDF objective function is formulated as:</w:t>
      </w:r>
    </w:p>
    <w:p>
      <w:r>
        <w:t>_b \ 1T _t=1^T ( 1 - b^T z_t )^2 + _1 \|b\|_1 + _2 \|b\|_2^2 \</w:t>
      </w:r>
    </w:p>
    <w:p>
      <w:r>
        <w:t>(kozak2020shrinking) showed that while unregularized models tend to overfit high-frequency sample noise, penalized SDF estimation extracts a low-dimensional principal component structure that spans expected returns while shrinking noise coefficients to zero.</w:t>
      </w:r>
    </w:p>
    <w:p>
      <w:r>
        <w:t>---</w:t>
      </w:r>
    </w:p>
    <w:p>
      <w:pPr>
        <w:spacing w:before="200" w:after="80"/>
        <w:ind w:firstLine="0"/>
      </w:pPr>
      <w:r>
        <w:rPr>
          <w:rFonts w:ascii="Times New Roman" w:hAnsi="Times New Roman"/>
          <w:b/>
          <w:color w:val="0A2240"/>
          <w:sz w:val="28"/>
        </w:rPr>
        <w:t>High-Dimensional SDF Estimation \&amp; Characteristic Interactions</w:t>
      </w:r>
    </w:p>
    <w:p>
      <w:pPr>
        <w:spacing w:before="160" w:after="80"/>
        <w:ind w:firstLine="0"/>
      </w:pPr>
      <w:r>
        <w:rPr>
          <w:rFonts w:ascii="Times New Roman" w:hAnsi="Times New Roman"/>
          <w:b/>
          <w:sz w:val="24"/>
        </w:rPr>
        <w:t>Non-Parametric Characteristic Pruning via Group LASSO</w:t>
      </w:r>
    </w:p>
    <w:p>
      <w:r>
        <w:t>Parallel to regularized linear SDFs, (freyberger2020dissecting) developed a non-parametric model to systematically select which firm characteristics provide incremental predictive power for expected returns. Using non-parametric B-spline expansions and Group LASSO penalties, their estimator models expected returns as:</w:t>
      </w:r>
    </w:p>
    <w:p>
      <w:r>
        <w:t>E_t[R_i,t+1] = _j=1^J g_j(c_i,j,t) + _i,t+1</w:t>
      </w:r>
    </w:p>
    <w:p>
      <w:r>
        <w:t>where c_i,j,t represents the rank-transformed characteristic j for firm i at time t, and g_j() is a non-linear continuous function. The Group LASSO penalty penalizes the vector of spline coefficients for each characteristic simultaneously:</w:t>
      </w:r>
    </w:p>
    <w:p>
      <w:r>
        <w:t>_\g_j\ \ 1NT _i=1^N _t=1^T ( R_i,t+1 - _j=1^J g_j(c_i,j,t) )^2 +  _j=1^J dim(g_j) \|g_j\|_2 \</w:t>
      </w:r>
    </w:p>
    <w:p>
      <w:r>
        <w:t>(freyberger2020dissecting) showed that out of more than 50 published characteristics, only a small subset (such as short-term momentum, market capitalization, operating profitability, and asset growth) retain independent predictive power once non-linearities and characteristic redundancies are penalized.</w:t>
      </w:r>
    </w:p>
    <w:p>
      <w:pPr>
        <w:spacing w:before="160" w:after="80"/>
        <w:ind w:firstLine="0"/>
      </w:pPr>
      <w:r>
        <w:rPr>
          <w:rFonts w:ascii="Times New Roman" w:hAnsi="Times New Roman"/>
          <w:b/>
          <w:sz w:val="24"/>
        </w:rPr>
        <w:t>Sparse Signals and Latent Factor Shrinkage</w:t>
      </w:r>
    </w:p>
    <w:p>
      <w:r>
        <w:t>(chinco2019sparse) examined sparse return predictability at high frequencies, showing that LASSO regression identifies transient, cross-asset predictive signals that standard time-series estimators miss. Grounding model selection in econometric diagnostics, (lewellen2010skeptical) provided a critique of cross-sectional asset pricing tests. They showed that testing multi-factor models on strong factor-structure portfolios (such as standard 25 Size-B/M sorted portfolios) produces artificially inflated cross-sectional R^2 values. They prescribed rigorous diagnostic standards: expanding test portfolios beyond Size-B/M, forcing theoretical factor risk premia to equal sample factor means, and reporting confidence intervals for cross-sectional R^2.</w:t>
      </w:r>
    </w:p>
    <w:p>
      <w:r>
        <w:t>Expanding structural factor selection, (feng2020taming) and (giglio2021test) developed double-testing econometric frameworks combining LASSO factor selection with two-pass regressions. They showed that high-dimensional regularization enables researchers to evaluate whether a newly proposed factor adds incremental explanatory power to the existing universe of 300+ factors without suffering from omitted variable bias or data mining contamination.</w:t>
      </w:r>
    </w:p>
    <w:p>
      <w:r>
        <w:t>---</w:t>
      </w:r>
    </w:p>
    <w:p>
      <w:pPr>
        <w:spacing w:before="200" w:after="80"/>
        <w:ind w:firstLine="0"/>
      </w:pPr>
      <w:r>
        <w:rPr>
          <w:rFonts w:ascii="Times New Roman" w:hAnsi="Times New Roman"/>
          <w:b/>
          <w:color w:val="0A2240"/>
          <w:sz w:val="28"/>
        </w:rPr>
        <w:t>Machine Learning and Deep Learning Paradigms</w:t>
      </w:r>
    </w:p>
    <w:p>
      <w:pPr>
        <w:spacing w:before="160" w:after="80"/>
        <w:ind w:firstLine="0"/>
      </w:pPr>
      <w:r>
        <w:rPr>
          <w:rFonts w:ascii="Times New Roman" w:hAnsi="Times New Roman"/>
          <w:b/>
          <w:sz w:val="24"/>
        </w:rPr>
        <w:t>Empirical Asset Pricing Benchmark: Gu, Kelly, and Xiu (2020)</w:t>
      </w:r>
    </w:p>
    <w:p>
      <w:r>
        <w:t>The landmark study by (gu2020empirical) established a primary theoretical and empirical benchmark for financial machine learning. Analyzing a panel of over 30,000 U.S. equities over 60 years (1957--2016) with 94 firm-level characteristics and 8 macroeconomic indicators, Gu, Kelly, and Xiu evaluated a range of machine learning architectures: Linear OLS, LASSO, ElasticNet, Principal Component Regression (PCR), Partial Least Squares (PLS), Random Forests, Gradient Boosted Decision Trees (GBDT), and multi-layer Feedforward Neural Networks (MLP).</w:t>
      </w:r>
    </w:p>
    <w:p>
      <w:r>
        <w:t>The non-linear forecasting panel model is defined as:</w:t>
      </w:r>
    </w:p>
    <w:p>
      <w:r>
        <w:t>R_i,t+1 = g^*(x_i,t) + _i,t+1,  x_i,t = c_i,t  d_t</w:t>
      </w:r>
    </w:p>
    <w:p>
      <w:r>
        <w:t>where c_i,t is a p-dimensional vector of firm characteristics, d_t is an m-dimensional vector of macro variables, and  denotes the Kronecker product creating interactive feature conditioning.</w:t>
      </w:r>
    </w:p>
    <w:p>
      <w:r>
        <w:t>(gu2020empirical) highlighted three main empirical findings:</w:t>
      </w:r>
    </w:p>
    <w:p>
      <w:r>
        <w:t>Non-Linear Model Performance: Non-linear models (GBDT, Neural Networks) outperform linear models in out-of-sample predictive R_oos^2, doubling the annualized Sharpe ratios of long-short hedge portfolios.</w:t>
      </w:r>
    </w:p>
    <w:p>
      <w:r>
        <w:t>Importance of Interaction Terms: A main source of machine learning gain comes from automatically capturing non-linear characteristic interactions (such as the interaction of size with short-term momentum and liquidity).</w:t>
      </w:r>
    </w:p>
    <w:p>
      <w:r>
        <w:t>Neural Network Architecture: Shallow neural architectures with 1 to 3 hidden layers achieve better performance compared to deeper networks, as excessive depth can lead to overfitting on low signal-to-noise equity return data.</w:t>
      </w:r>
    </w:p>
    <w:p>
      <w:pPr>
        <w:spacing w:before="160" w:after="80"/>
        <w:ind w:firstLine="0"/>
      </w:pPr>
      <w:r>
        <w:rPr>
          <w:rFonts w:ascii="Times New Roman" w:hAnsi="Times New Roman"/>
          <w:b/>
          <w:sz w:val="24"/>
        </w:rPr>
        <w:t>Characteristics as Dynamic Risk Exposures: IPCA</w:t>
      </w:r>
    </w:p>
    <w:p>
      <w:r>
        <w:t>Theoretical motivation for why machine learning return forecasts succeed was provided by (kelly2019characteristics). Introducing Instrumented Principal Component Analysis (IPCA), Kelly, Pruitt, and Su modeled asset returns as:</w:t>
      </w:r>
    </w:p>
    <w:p>
      <w:r>
        <w:t>R_i,t+1 = z_i,t^T _ f_t+1 + _i,t+1</w:t>
      </w:r>
    </w:p>
    <w:p>
      <w:r>
        <w:t>where z_i,t is a vector of observable firm characteristics, _ is a mapping matrix connecting characteristics to dynamic factor loadings (_i,t = _^T z_i,t), and f_t+1 represents unobservable latent factor returns.</w:t>
      </w:r>
    </w:p>
    <w:p>
      <w:r>
        <w:t>(kelly2019characteristics) showed that firm characteristics serve as proxies for time-varying factor risk exposures. Consequently, machine learning return predictors predicting R_i,t+1 = g(z_i,t) are implicitly estimating dynamic latent factor models with time-varying risk loadings.</w:t>
      </w:r>
    </w:p>
    <w:p>
      <w:pPr>
        <w:spacing w:before="160" w:after="80"/>
        <w:ind w:firstLine="0"/>
      </w:pPr>
      <w:r>
        <w:rPr>
          <w:rFonts w:ascii="Times New Roman" w:hAnsi="Times New Roman"/>
          <w:b/>
          <w:sz w:val="24"/>
        </w:rPr>
        <w:t>Deep Learning and Non-Parametric SDF Estimation</w:t>
      </w:r>
    </w:p>
    <w:p>
      <w:r>
        <w:t>Extending ML to advanced deep architectures, (chen2023deep) developed deep neural network models that estimate non-parametric asset pricing SDFs directly from high-dimensional equity panels. By parameterizing factor loadings (c_i,t) as non-linear functions of firm characteristics using Deep Neural Networks (DNNs) combined with Generative Adversarial Networks (GANs), Chen, Pelger, and Zhu showed that deep learning captures macroeconomic regime shifts and structural non-linearities that linear factor models may miss.</w:t>
      </w:r>
    </w:p>
    <w:p>
      <w:r>
        <w:t>Similarly, (cong2021textual) incorporated multi-modal deep learning architectures to process accounting signals alongside high-dimensional textual information. To help explain the predictions of deep neural networks, (lundberg2017unified) introduced SHapley Additive exPlanations (SHAP), based on cooperative game theory. SHAP decomposes a model prediction f(x) into additive feature contributions:</w:t>
      </w:r>
    </w:p>
    <w:p>
      <w:r>
        <w:t>f(x) = _0 + _j=1^M _j x_j</w:t>
      </w:r>
    </w:p>
    <w:p>
      <w:r>
        <w:t>providing transparent economic interpretation of non-linear asset pricing models.</w:t>
      </w:r>
    </w:p>
    <w:p>
      <w:pPr>
        <w:spacing w:before="160" w:after="80"/>
        <w:ind w:firstLine="0"/>
      </w:pPr>
      <w:r>
        <w:rPr>
          <w:rFonts w:ascii="Times New Roman" w:hAnsi="Times New Roman"/>
          <w:b/>
          <w:sz w:val="24"/>
        </w:rPr>
        <w:t>Economic Frictions and Limits to Arbitrage</w:t>
      </w:r>
    </w:p>
    <w:p>
      <w:r>
        <w:t>While machine learning models achieve notable statistical R_oos^2, (avramov2023machine) investigated whether these return forecast gains survive real-world economic frictions. Avramov, Cheng, and Metzker showed that machine learning return predictability is heavily concentrated in illiquid, microcap stocks with high distress risk, high transaction costs, and borrowing constraints. When portfolios exclude microcaps or account for realistic execution costs, out-of-sample profits decline significantly. This highlights the importance of integrating microstructural frictions into financial machine learning evaluation.</w:t>
      </w:r>
    </w:p>
    <w:p>
      <w:r>
        <w:t>---</w:t>
      </w:r>
    </w:p>
    <w:p>
      <w:pPr>
        <w:spacing w:before="200" w:after="80"/>
        <w:ind w:firstLine="0"/>
      </w:pPr>
      <w:r>
        <w:rPr>
          <w:rFonts w:ascii="Times New Roman" w:hAnsi="Times New Roman"/>
          <w:b/>
          <w:color w:val="0A2240"/>
          <w:sz w:val="28"/>
        </w:rPr>
        <w:t>Financial Time-Series Econometrics \&amp; Inference</w:t>
      </w:r>
    </w:p>
    <w:p>
      <w:pPr>
        <w:spacing w:before="160" w:after="80"/>
        <w:ind w:firstLine="0"/>
      </w:pPr>
      <w:r>
        <w:rPr>
          <w:rFonts w:ascii="Times New Roman" w:hAnsi="Times New Roman"/>
          <w:b/>
          <w:sz w:val="24"/>
        </w:rPr>
        <w:t>Heteroskedasticity and Autocorrelation Consistent (HAC) Inference</w:t>
      </w:r>
    </w:p>
    <w:p>
      <w:r>
        <w:t>Financial return time series exhibit conditional heteroskedasticity, volatility clustering, and serial dependence. Standard Ordinary Least Squares (OLS) covariance estimators understate parameter variances, yielding artificially inflated t-statistics. To provide valid statistical inference, (newey1987simple) developed the Heteroskedasticity and Autocorrelation Consistent (HAC) covariance matrix estimator.</w:t>
      </w:r>
    </w:p>
    <w:p>
      <w:r>
        <w:t>For a time series of regression residuals e_t and regressors X_t, defining u_t = X_t e_t, the Newey-West estimator computes the sample covariance matrix _NW as:</w:t>
      </w:r>
    </w:p>
    <w:p>
      <w:r>
        <w:t>_NW = _0 + _j=1^L w(j, L) ( _j + _j^T )</w:t>
      </w:r>
    </w:p>
    <w:p>
      <w:r>
        <w:t>where _j = 1T _t=j+1^T u_t u_t-j^T is the sample autocovariance matrix at lag j, and w(j, L) = 1 - jL+1 represents the Bartlett kernel weighting function over a maximum lag length L. The Bartlett kernel ensures that _NW is positive semi-definite in finite samples.</w:t>
      </w:r>
    </w:p>
    <w:p>
      <w:pPr>
        <w:spacing w:before="160" w:after="80"/>
        <w:ind w:firstLine="0"/>
      </w:pPr>
      <w:r>
        <w:rPr>
          <w:rFonts w:ascii="Times New Roman" w:hAnsi="Times New Roman"/>
          <w:b/>
          <w:sz w:val="24"/>
        </w:rPr>
        <w:t>Out-of-Sample Predictive Accuracy: Diebold-Mariano and HLN Corrections</w:t>
      </w:r>
    </w:p>
    <w:p>
      <w:r>
        <w:t>When comparing out-of-sample forecast accuracy between two competing forecasting models (such as a deep sequence network versus a baseline linear factor model), standard independent sample t-tests are invalid due to forecast error autocorrelation. (diebold1995comparing) introduced a distribution-free statistic for testing the null hypothesis of equal predictive accuracy.</w:t>
      </w:r>
    </w:p>
    <w:p>
      <w:r>
        <w:t>Let e_1,t and e_2,t denote forecast errors from Model 1 and Model 2 at time t. The loss differential sequence is defined under a loss function L() (such as Mean Squared Error):</w:t>
      </w:r>
    </w:p>
    <w:p>
      <w:r>
        <w:t>d_t = L(e_1,t) - L(e_2,t)</w:t>
      </w:r>
    </w:p>
    <w:p>
      <w:r>
        <w:t>The null hypothesis of equal forecast accuracy is H_0: E[d_t] = 0. The Diebold-Mariano (DM) test statistic is given by:</w:t>
      </w:r>
    </w:p>
    <w:p>
      <w:r>
        <w:t>DM = dV(d)T d N(0, 1)</w:t>
      </w:r>
    </w:p>
    <w:p>
      <w:r>
        <w:t>where d = 1T_t=1^T d_t, and V(d) is the HAC-adjusted asymptotic variance of the loss differential sequence using the Newey-West estimator.</w:t>
      </w:r>
    </w:p>
    <w:p>
      <w:r>
        <w:t>To correct for small-sample size distortion in modest evaluation panels, (harvey1997testing) introduced the Harvey-Leybourne-Newbold (HLN) small-sample correction. For a forecast horizon h, the HLN-adjusted statistic is:</w:t>
      </w:r>
    </w:p>
    <w:p>
      <w:r>
        <w:t>DM^* = DM  [ T + 1 - 2h + T^-1h(h-1)T ]^1/2</w:t>
      </w:r>
    </w:p>
    <w:p>
      <w:r>
        <w:t>Critical values for DM^* are drawn from the Student's t-distribution with (T-1) degrees of freedom, providing robust inference in empirical financial panels.</w:t>
      </w:r>
    </w:p>
    <w:p>
      <w:pPr>
        <w:spacing w:before="160" w:after="80"/>
        <w:ind w:firstLine="0"/>
      </w:pPr>
      <w:r>
        <w:rPr>
          <w:rFonts w:ascii="Times New Roman" w:hAnsi="Times New Roman"/>
          <w:b/>
          <w:sz w:val="24"/>
        </w:rPr>
        <w:t>Data Mining Diagnostics: Reality Check and Superior Predictive Ability</w:t>
      </w:r>
    </w:p>
    <w:p>
      <w:r>
        <w:t>When searching across multiple model hyperparameter configurations or architecture variants, researchers risk selecting a model that performs well out-of-sample purely by chance. To control for data mining, (white2000reality) introduced the Reality Check for Data Mining. White formulated a bootstrap procedure over the joint distribution of benchmark and candidate model forecasts to test whether the best performing candidate model genuinely outperforms the benchmark.</w:t>
      </w:r>
    </w:p>
    <w:p>
      <w:r>
        <w:t>Recognizing that White's Reality Check can be conservative when poor candidate models are included, (hansen2005superior) refined the framework into the Superior Predictive Ability (SPA) test. Hansen introduced a studentized test statistic with sample-dependent variance adjustments:</w:t>
      </w:r>
    </w:p>
    <w:p>
      <w:r>
        <w:t>T_k^SPA = _k=1, , K T d_k_k</w:t>
      </w:r>
    </w:p>
    <w:p>
      <w:r>
        <w:t>where _k^2 is a consistent estimator of the asymptotic variance of Td_k. Hansen showed that the SPA test exhibits higher power and robustness against uninformative candidate models, serving as a useful diagnostic for quantitative model comparison.</w:t>
      </w:r>
    </w:p>
    <w:p>
      <w:r>
        <w:t>---</w:t>
      </w:r>
    </w:p>
    <w:p>
      <w:pPr>
        <w:spacing w:before="200" w:after="80"/>
        <w:ind w:firstLine="0"/>
      </w:pPr>
      <w:r>
        <w:rPr>
          <w:rFonts w:ascii="Times New Roman" w:hAnsi="Times New Roman"/>
          <w:b/>
          <w:color w:val="0A2240"/>
          <w:sz w:val="28"/>
        </w:rPr>
        <w:t>Financial ML Protocols \&amp; Overfitting Mitigation</w:t>
      </w:r>
    </w:p>
    <w:p>
      <w:pPr>
        <w:spacing w:before="160" w:after="80"/>
        <w:ind w:firstLine="0"/>
      </w:pPr>
      <w:r>
        <w:rPr>
          <w:rFonts w:ascii="Times New Roman" w:hAnsi="Times New Roman"/>
          <w:b/>
          <w:sz w:val="24"/>
        </w:rPr>
        <w:t>Methodological Pitfalls in Financial Machine Learning</w:t>
      </w:r>
    </w:p>
    <w:p>
      <w:r>
        <w:t>In financial machine learning, standard statistical cross-validation techniques (such as standard randomized K-fold CV) can fail. As detailed by (lopez2018advances), financial time-series data violate the independent and identically distributed (i.i.d.) assumption. Applying naive cross-validation induces several methodological problems:</w:t>
      </w:r>
    </w:p>
    <w:p>
      <w:r>
        <w:t>Lookahead Leakage: Using future information (such as future target returns or lookahead normalized features) during training.</w:t>
      </w:r>
    </w:p>
    <w:p>
      <w:r>
        <w:t>Serial Memory Contamination: Overlapping target return windows (such as multi-day cumulative returns) allow training samples to overlap with test samples, leaking labels across folds.</w:t>
      </w:r>
    </w:p>
    <w:p>
      <w:r>
        <w:t>Backtest Overfitting: Iteratively tuning model parameters directly on test set Sharpe ratios until an illusion of profitability is produced.</w:t>
      </w:r>
    </w:p>
    <w:p>
      <w:pPr>
        <w:spacing w:before="160" w:after="80"/>
        <w:ind w:firstLine="0"/>
      </w:pPr>
      <w:r>
        <w:rPr>
          <w:rFonts w:ascii="Times New Roman" w:hAnsi="Times New Roman"/>
          <w:b/>
          <w:sz w:val="24"/>
        </w:rPr>
        <w:t>Validation Protocols</w:t>
      </w:r>
    </w:p>
    <w:p>
      <w:r>
        <w:t>To ensure backtesting integrity, (lopez2018advances) established validation protocols:</w:t>
      </w:r>
    </w:p>
    <w:p>
      <w:r>
        <w:t>Expanding Walk-Forward Validation: Models are trained on historical data t  [1, T_train] and evaluated on subsequent out-of-sample periods t  [T_train+1, T_test]. The training window expands iteratively over time.</w:t>
      </w:r>
    </w:p>
    <w:p>
      <w:r>
        <w:t>Combinatorial Purged Cross-Validation (CPCV): When non-sequential cross-validation is conducted, training folds adjacent to test folds are purged by removing samples whose label windows overlap with test windows. Furthermore, an embargo period is appended after test sets to eliminate serial correlation leakage.</w:t>
      </w:r>
    </w:p>
    <w:p>
      <w:r>
        <w:t>Point-in-Time Data Alignment: Financial fundamentals and accounting metrics are indexed by their actual public SEC disclosure dates (such as 10-K/10-Q filing dates) rather than fiscal period end dates.</w:t>
      </w:r>
    </w:p>
    <w:p>
      <w:pPr>
        <w:spacing w:before="160" w:after="80"/>
        <w:ind w:firstLine="0"/>
      </w:pPr>
      <w:r>
        <w:rPr>
          <w:rFonts w:ascii="Times New Roman" w:hAnsi="Times New Roman"/>
          <w:b/>
          <w:sz w:val="24"/>
        </w:rPr>
        <w:t>Microstructural Frictions and Execution Drag</w:t>
      </w:r>
    </w:p>
    <w:p>
      <w:r>
        <w:t>A gap between academic backtests and practical trading is execution friction. (novy2016taxonomy) developed a transaction cost framework for cross-sectional anomalies. Novy-Marx and Velikov showed that trading costs depend heavily on portfolio turnover:</w:t>
      </w:r>
    </w:p>
    <w:p>
      <w:r>
        <w:t>Net Return_i,t+1 = R_i,t+1 - _i  Turnover_i,t</w:t>
      </w:r>
    </w:p>
    <w:p>
      <w:r>
        <w:t>where _i represents effective bid-ask spreads and market impact costs. High-turnover strategies (such as short-term reversal or high-frequency anomaly signals) incur transaction costs that can exceed 50--100 basis points per trade, reducing gross alphas.</w:t>
      </w:r>
    </w:p>
    <w:p>
      <w:r>
        <w:t>Furthermore, execution realism mandates an execution delay: trading signals generated at market close on day t cannot be executed until day t+1 close or open. In addition, leverage constraints and margin costs (frazzini2014betting) restrict short-selling capacity on distressed equities, reinforcing the necessity of evaluating long-only and cost-adjusted long-short performance.</w:t>
      </w:r>
    </w:p>
    <w:p>
      <w:r>
        <w:t>---</w:t>
      </w:r>
    </w:p>
    <w:p>
      <w:pPr>
        <w:spacing w:before="200" w:after="80"/>
        <w:ind w:firstLine="0"/>
      </w:pPr>
      <w:r>
        <w:rPr>
          <w:rFonts w:ascii="Times New Roman" w:hAnsi="Times New Roman"/>
          <w:b/>
          <w:color w:val="0A2240"/>
          <w:sz w:val="28"/>
        </w:rPr>
        <w:t>Synthesis of Core Literature Benchmarks</w:t>
      </w:r>
    </w:p>
    <w:p>
      <w:r>
        <w:t>Table tab:ch2_lit_synthesis_comprehensive provides a synthesis of the literature that anchors the theoretical framing, model architecture, feature engineering, econometric estimation, and validation of this thesis.</w:t>
      </w:r>
    </w:p>
    <w:p>
      <w:r>
        <w:t>Comprehensive Synthesis of Core Literature Benchmarks</w:t>
      </w:r>
    </w:p>
    <w:p>
      <w:r>
        <w:t>Thematic Domain &amp; Key Literature Citation &amp; Core Theoretical / Econometric Finding &amp; Implementation in Thesis \\</w:t>
      </w:r>
    </w:p>
    <w:p>
      <w:r>
        <w:t>4*[l]Asset Pricing\</w:t>
      </w:r>
    </w:p>
    <w:p>
      <w:r>
        <w:t>&amp; (sharpe1964capital), (lintner1965valuation) &amp; Single-factor CAPM equilibrium; market beta linear pricing &amp; Baseline risk benchmark \\</w:t>
      </w:r>
    </w:p>
    <w:p>
      <w:r>
        <w:t>&amp; (fama1973risk) &amp; Two-pass cross-sectional regression methodology &amp; Baseline linear factor risk premia \\</w:t>
      </w:r>
    </w:p>
    <w:p>
      <w:r>
        <w:t>&amp; (ross1976arbitrage) &amp; Arbitrage Pricing Theory (APT); multi-factor space &amp; Linear multi-factor baseline \\</w:t>
      </w:r>
    </w:p>
    <w:p>
      <w:r>
        <w:t>&amp; (fama1993common), (fama2015five) &amp; 3-Factor and 5-Factor models (Mkt, SMB, HML, RMW, CMA) &amp; Econometric spanning regressions \\</w:t>
      </w:r>
    </w:p>
    <w:p>
      <w:r>
        <w:t>&amp; (carhart1997on), (pastor2003liquidity) &amp; Price momentum (WML) and aggregate market liquidity factors &amp; Extended multi-factor benchmark \\</w:t>
      </w:r>
    </w:p>
    <w:p>
      <w:r>
        <w:t>4*[l]Factor Zoo \&amp;\</w:t>
      </w:r>
    </w:p>
    <w:p>
      <w:r>
        <w:t>&amp; (cochrane2011discount) &amp; Factor zoo diagnosis; lack of unified factor structure &amp; High-dimensional model motivation \\</w:t>
      </w:r>
    </w:p>
    <w:p>
      <w:r>
        <w:t>&amp; (harvey2016and), (harvey2020false) &amp; Multiple testing bias; minimum hurdle rate |t| &gt; 3.0 &amp; Feature auditing threshold \\</w:t>
      </w:r>
    </w:p>
    <w:p>
      <w:r>
        <w:t>&amp; (hou2020replicating), (mclean2016does) &amp; 65\%+ anomaly replication failure; post-publication decay &amp; Microcap exclusions \&amp; value weighting \\</w:t>
      </w:r>
    </w:p>
    <w:p>
      <w:r>
        <w:t>&amp; (kozak2020shrinking) &amp; Regularized L_1/L_2 SDF shrinkage in high dimensions &amp; Penalized Ridge/ElasticNet baselines \\</w:t>
      </w:r>
    </w:p>
    <w:p>
      <w:r>
        <w:t>&amp; (freyberger2020dissecting) &amp; Non-parametric Group LASSO characteristic pruning &amp; Rank-normalized feature selection \\</w:t>
      </w:r>
    </w:p>
    <w:p>
      <w:r>
        <w:t>4*[l]Machine Learning\\\&amp; Deep Learning</w:t>
      </w:r>
    </w:p>
    <w:p>
      <w:r>
        <w:t>&amp; (gu2020empirical) &amp; Non-linear ML performance; interaction terms; 1--3 layer networks &amp; Experimental lineup design \\</w:t>
      </w:r>
    </w:p>
    <w:p>
      <w:r>
        <w:t>&amp; (kelly2019characteristics) &amp; Instrumented PCA (IPCA); characteristics as dynamic betas &amp; Latent dynamic factor framing \\</w:t>
      </w:r>
    </w:p>
    <w:p>
      <w:r>
        <w:t>&amp; (chen2023deep) &amp; Deep learning non-parametric SDF estimation via GANs &amp; Sequence model architecture \\</w:t>
      </w:r>
    </w:p>
    <w:p>
      <w:r>
        <w:t>&amp; (avramov2023machine) &amp; ML gains concentrated in illiquid hard-to-arbitrage stocks &amp; Size-stratified empirical evaluation \\</w:t>
      </w:r>
    </w:p>
    <w:p>
      <w:r>
        <w:t>&amp; (lundberg2017unified) &amp; SHAP additive feature attribution for non-linear models &amp; Model interpretability framework \\</w:t>
      </w:r>
    </w:p>
    <w:p>
      <w:r>
        <w:t>4*[l]Time-Series\</w:t>
      </w:r>
    </w:p>
    <w:p>
      <w:r>
        <w:t>&amp; (newey1987simple) &amp; HAC robust standard errors; Bartlett kernel weighting &amp; Fama-MacBeth HAC t-statistics \\</w:t>
      </w:r>
    </w:p>
    <w:p>
      <w:r>
        <w:t>&amp; (diebold1995comparing), (harvey1997testing) &amp; Out-of-sample forecast accuracy test \&amp; HLN correction &amp; Model forecast comparison tests \\</w:t>
      </w:r>
    </w:p>
    <w:p>
      <w:r>
        <w:t>&amp; (white2000reality), (hansen2005superior) &amp; Reality Check and Superior Predictive Ability (SPA) tests &amp; Hyperparameter data-mining audit \\</w:t>
      </w:r>
    </w:p>
    <w:p>
      <w:r>
        <w:t>3*[l]Financial ML\</w:t>
      </w:r>
    </w:p>
    <w:p>
      <w:r>
        <w:t>&amp; (lopez2018advances) &amp; Financial ML protocols; purging, embargoing, walk-forward &amp; 5-Fold expanding walk-forward split \\</w:t>
      </w:r>
    </w:p>
    <w:p>
      <w:r>
        <w:t>&amp; (novy2016taxonomy) &amp; Transaction cost taxonomy; effective spreads and impact &amp; 10 bps friction drag evaluation \\</w:t>
      </w:r>
    </w:p>
    <w:p>
      <w:r>
        <w:t>&amp; (frazzini2014betting) &amp; Betting against beta; leverage constraints and margin drag &amp; Execution delay \&amp; shorting rules \\</w:t>
      </w:r>
    </w:p>
    <w:p>
      <w:pPr>
        <w:spacing w:before="200" w:after="80"/>
        <w:ind w:firstLine="0"/>
      </w:pPr>
      <w:r>
        <w:rPr>
          <w:rFonts w:ascii="Times New Roman" w:hAnsi="Times New Roman"/>
          <w:b/>
          <w:color w:val="0A2240"/>
          <w:sz w:val="28"/>
        </w:rPr>
        <w:t>Summary</w:t>
      </w:r>
    </w:p>
    <w:p>
      <w:r>
        <w:t>In conclusion, the evolution of empirical asset pricing shows a clear transition from simple linear factor models toward regularized high-dimensional estimation and non-parametric deep sequence architectures. By synthesizing the theoretical insights of factor pricing, the statistical rigor of multiple testing adjustments, the predictive capability of deep sequence networks, and empirical validation protocols, this thesis builds a framework for cross-sectional stock return prediction.</w:t>
      </w:r>
    </w:p>
    <w:p>
      <w:r>
        <w:br w:type="page"/>
      </w:r>
    </w:p>
    <w:p>
      <w:pPr>
        <w:spacing w:before="240" w:after="120"/>
        <w:ind w:firstLine="0"/>
      </w:pPr>
      <w:r>
        <w:rPr>
          <w:rFonts w:ascii="Times New Roman" w:hAnsi="Times New Roman"/>
          <w:b/>
          <w:color w:val="0A2240"/>
          <w:sz w:val="28"/>
        </w:rPr>
        <w:t>Data &amp; Methodology</w:t>
      </w:r>
    </w:p>
    <w:p>
      <w:pPr>
        <w:spacing w:before="200" w:after="80"/>
        <w:ind w:firstLine="0"/>
      </w:pPr>
      <w:r>
        <w:rPr>
          <w:rFonts w:ascii="Times New Roman" w:hAnsi="Times New Roman"/>
          <w:b/>
          <w:color w:val="0A2240"/>
          <w:sz w:val="28"/>
        </w:rPr>
        <w:t>Data Pipeline and Sample Construction</w:t>
      </w:r>
    </w:p>
    <w:p>
      <w:r>
        <w:t>My empirical sample comprises daily stock prices, trading volumes, and quarterly financial accounting metrics for active and historical S\&amp;P 500 constituent equities from December 31, 2014, through December 31, 2024. The active evaluation window spans January 1, 2015, to December 31, 2024, yielding 2,516 trading days and over 1.25 million stock-day observations (gu2020empirical).</w:t>
      </w:r>
    </w:p>
    <w:p>
      <w:r>
        <w:t>Daily closing prices, dividend payments, stock splits, and trading volumes are ingested from Yahoo Finance and cross-verified against Bloomberg Terminal records. Daily risk-free rates (R_f,t) along with daily Fama-French 5-Factor returns (Mkt-RF_t, SMB_t, HML_t, RMW_t, CMA_t) and Carhart Momentum (MOM_t) are retrieved directly from the Ken French Data Library (fama1993common, fama2015five, carhart1997on).</w:t>
      </w:r>
    </w:p>
    <w:p>
      <w:pPr>
        <w:spacing w:before="160" w:after="80"/>
        <w:ind w:firstLine="0"/>
      </w:pPr>
      <w:r>
        <w:rPr>
          <w:rFonts w:ascii="Times New Roman" w:hAnsi="Times New Roman"/>
          <w:b/>
          <w:sz w:val="24"/>
        </w:rPr>
        <w:t>Point-in-Time Bloomberg Filing Date Alignment</w:t>
      </w:r>
    </w:p>
    <w:p>
      <w:r>
        <w:t>A common issue in empirical finance studies is lookahead bias caused by indexing corporate accounting metrics to fiscal period end-dates. In practice, financial statements for a fiscal quarter ending on December 31 (t_fiscal) are published weeks or months later during the 10-K or 10-Q SEC filing process (lopez2018advances).</w:t>
      </w:r>
    </w:p>
    <w:p>
      <w:r>
        <w:t>To eliminate lookahead contamination, my data pipeline (src/data_pipeline.py) ingests official Bloomberg publication timestamps (earnings_announcement_date / filing_date). On any given trading date t, a quarterly fundamental feature vector x_i,t^fund is updated to the newly reported accounting state Q_ if and only if:</w:t>
      </w:r>
    </w:p>
    <w:p>
      <w:r>
        <w:t>t  Announcement Date(Q_)</w:t>
      </w:r>
    </w:p>
    <w:p>
      <w:r>
        <w:t>Prior to t = Announcement Date(Q_), the model is strictly limited to using the previously announced fundamental vector Q_-1.</w:t>
      </w:r>
    </w:p>
    <w:p>
      <w:r>
        <w:t>In addition, I enforce a Staleness Truncation Rule: a fundamental observation remains active for at most 90 trading days ( 1 calendar quarter). If a firm fails to publish a new statement within 120 calendar days ( 90 trading days), the forward-fill is truncated and the corresponding fundamental fields are set to missing (NaN), preventing outdated accounting ratios from skewing cross-sectional ranks (novy2016taxonomy).</w:t>
      </w:r>
    </w:p>
    <w:p>
      <w:pPr>
        <w:spacing w:before="160" w:after="80"/>
        <w:ind w:firstLine="0"/>
      </w:pPr>
      <w:r>
        <w:rPr>
          <w:rFonts w:ascii="Times New Roman" w:hAnsi="Times New Roman"/>
          <w:b/>
          <w:sz w:val="24"/>
        </w:rPr>
        <w:t>Survivorship-Bias-Free Dynamic Panel</w:t>
      </w:r>
    </w:p>
    <w:p>
      <w:r>
        <w:t>To guard against survivorship bias, my asset universe tracks historical point-in-time S\&amp;P 500 constituent rosters obtained from Bloomberg. Companies removed from the index, acquired, or delisted due to bankruptcy between 2015 and 2024 remain in the daily cross-section up to their final active trading date T_exit (mclean2016does, hou2020replicating).</w:t>
      </w:r>
    </w:p>
    <w:p>
      <w:r>
        <w:t>Figure fig:ch3_pipeline shows my point-in-time data alignment pipeline and staleness truncation flowchart.</w:t>
      </w:r>
    </w:p>
    <w:p>
      <w:r>
        <w:t>scale=0.85, transform shape,</w:t>
      </w:r>
    </w:p>
    <w:p>
      <w:r>
        <w:t>node distance=1.2cm and 1.0cm,</w:t>
      </w:r>
    </w:p>
    <w:p>
      <w:r>
        <w:t>box/.style=draw=jpmNavy, fill=jpmLight, rectangle, rounded corners=5pt, align=center, inner sep=8pt, font=, text=jpmNavy, minimum width=3.5cm, minimum height=1.0cm,</w:t>
      </w:r>
    </w:p>
    <w:p>
      <w:r>
        <w:t>arrow/.style=-Stealth, thick, draw=jpmNavy</w:t>
      </w:r>
    </w:p>
    <w:p>
      <w:r>
        <w:t>(raw) [box] Raw Bloomberg Data\, Fundamentals, Announcements;</w:t>
      </w:r>
    </w:p>
    <w:p>
      <w:r>
        <w:t>(align) [box, right=1.0cm of raw] Point-in-Time Alignment\ by earnings\_announcement\_date;</w:t>
      </w:r>
    </w:p>
    <w:p>
      <w:r>
        <w:t>(ffill) [box, right=1.0cm of align] Forward-Fill Mechanism\ features on disclosure dates;</w:t>
      </w:r>
    </w:p>
    <w:p>
      <w:r>
        <w:t>(stale) [box, right=1.0cm of ffill] Staleness Truncation Rule\ features after 90 trading days;</w:t>
      </w:r>
    </w:p>
    <w:p>
      <w:r>
        <w:t>[arrow] (raw) -- (align);</w:t>
      </w:r>
    </w:p>
    <w:p>
      <w:r>
        <w:t>[arrow] (align) -- (ffill);</w:t>
      </w:r>
    </w:p>
    <w:p>
      <w:r>
        <w:t>[arrow] (ffill) -- (stale);</w:t>
      </w:r>
    </w:p>
    <w:p>
      <w:r>
        <w:t>Bloomberg Point-in-Time Data Pipeline and Staleness Truncation Flowchart</w:t>
      </w:r>
    </w:p>
    <w:p>
      <w:pPr>
        <w:spacing w:before="200" w:after="80"/>
        <w:ind w:firstLine="0"/>
      </w:pPr>
      <w:r>
        <w:rPr>
          <w:rFonts w:ascii="Times New Roman" w:hAnsi="Times New Roman"/>
          <w:b/>
          <w:color w:val="0A2240"/>
          <w:sz w:val="28"/>
        </w:rPr>
        <w:t>Feature Space Taxonomy and Selection</w:t>
      </w:r>
    </w:p>
    <w:p>
      <w:r>
        <w:t>My feature space consists of 59 selected variables in total:</w:t>
      </w:r>
    </w:p>
    <w:p>
      <w:r>
        <w:t>53 Predictive Machine Learning Inputs: Fed directly into the machine learning and neural network architectures across 4 distinct modalities: Technical (16), Fundamental (30), Sentiment (2), and Macro (5) (gu2020empirical, cong2021textual).</w:t>
      </w:r>
    </w:p>
    <w:p>
      <w:r>
        <w:t>6 Benchmark Risk Factor Betas: Retained for baseline linear regressions and econometric risk adjustments: 5 Fama-French systematic factor betas (Mkt-RF, SMB, HML, RMW, CMA) plus Momentum (MOM) (fama2015five, carhart1997on).</w:t>
      </w:r>
    </w:p>
    <w:p>
      <w:pPr>
        <w:spacing w:before="160" w:after="80"/>
        <w:ind w:firstLine="0"/>
      </w:pPr>
      <w:r>
        <w:rPr>
          <w:rFonts w:ascii="Times New Roman" w:hAnsi="Times New Roman"/>
          <w:b/>
          <w:sz w:val="24"/>
        </w:rPr>
        <w:t>Economic Rationale for Feature Set Size (59 Variables vs. 120+ Zoo Features)</w:t>
      </w:r>
    </w:p>
    <w:p>
      <w:r>
        <w:t>A central question in financial feature engineering is why I choose a 59-variable panel (53 predictive ML inputs + 6 factor betas) rather than expanding the characteristic space to 120, 250, or 500 features.</w:t>
      </w:r>
    </w:p>
    <w:p>
      <w:r>
        <w:t>From an economic and econometric perspective, expanding the predictor space in financial panels introduces three major drawbacks:</w:t>
      </w:r>
    </w:p>
    <w:p>
      <w:r>
        <w:t>Characteristic Redundancy and Collinear Noise: Financial characteristics often capture minor variations of the same underlying economic signal (for example, constructing 15 slightly different variations of price momentum or financial leverage). Expanding the feature space to hundreds of candidate variables creates high collinearity, increasing model variance without offering meaningful incremental signal (freyberger2020dissecting, kozak2020shrinking).</w:t>
      </w:r>
    </w:p>
    <w:p>
      <w:r>
        <w:t>Multiple Testing and False Discovery Inflation: As (harvey2016and) and (harvey2020false) demonstrate, testing hundreds of candidate characteristics drastically increases false-discovery rates due to p-hacking. Restricting the feature set to 53 ML inputs across 4 economic modalities (Technicals, Fundamentals, Sentiment, Macro) ensures that every input maps to a recognized economic mechanism (liquidity (pastor2003liquidity), operating profitability (novy2013other), market sentiment (cong2021textual), and cost of capital (fama2015five)).</w:t>
      </w:r>
    </w:p>
    <w:p>
      <w:r>
        <w:t>Data Availability and Sample Shrinkage: Large feature spaces frequently suffer from missing data among smaller or historically restructured firms. Requiring 250+ complete characteristics shrinks the available cross-sectional sample size of valid stock-day observations (avramov2023machine).</w:t>
      </w:r>
    </w:p>
    <w:p>
      <w:r>
        <w:t>Figure fig:ch3_modality_split summarizes the feature group modality split.</w:t>
      </w:r>
    </w:p>
    <w:p>
      <w:r>
        <w:t>scale=0.85, transform shape,</w:t>
      </w:r>
    </w:p>
    <w:p>
      <w:r>
        <w:t>modbox/.style=draw=jpmNavy, fill=jpmLight, rectangle, rounded corners=5pt, align=center, inner sep=8pt, font=, text=jpmNavy, minimum width=3.2cm, minimum height=1.2cm,</w:t>
      </w:r>
    </w:p>
    <w:p>
      <w:r>
        <w:t>arrow/.style=-Stealth, thick, draw=jpmNavy</w:t>
      </w:r>
    </w:p>
    <w:p>
      <w:r>
        <w:t>(tech) [modbox] Technical Modality\\(16 Features)\, Volatility, RSI;</w:t>
      </w:r>
    </w:p>
    <w:p>
      <w:r>
        <w:t>(fund) [modbox, right=0.8cm of tech] Fundamental Modality\\(30 Features)\, ROA, Debt/Assets, B/M;</w:t>
      </w:r>
    </w:p>
    <w:p>
      <w:r>
        <w:t>(sent) [modbox, right=0.8cm of fund] Sentiment Modality\\(2 Features)\ Upside, Ratings;</w:t>
      </w:r>
    </w:p>
    <w:p>
      <w:r>
        <w:t>(macro) [modbox, right=0.8cm of sent] Macro Modality\\(5 Features)\, Treasury Yields, DXY;</w:t>
      </w:r>
    </w:p>
    <w:p>
      <w:r>
        <w:t>Variable Taxonomy and Feature Group Modality Split (53 ML Inputs + 6 Factor Betas = 59 Total)</w:t>
      </w:r>
    </w:p>
    <w:p>
      <w:pPr>
        <w:spacing w:before="200" w:after="80"/>
        <w:ind w:firstLine="0"/>
      </w:pPr>
      <w:r>
        <w:rPr>
          <w:rFonts w:ascii="Times New Roman" w:hAnsi="Times New Roman"/>
          <w:b/>
          <w:color w:val="0A2240"/>
          <w:sz w:val="28"/>
        </w:rPr>
        <w:t>Feature Normalization and Selection Protocol</w:t>
      </w:r>
    </w:p>
    <w:p>
      <w:r>
        <w:t>All raw predictor variables are transformed daily into Cross-Sectional Ranks mapped to the uniform interval [0, 1] (freyberger2020dissecting, gu2020empirical):</w:t>
      </w:r>
    </w:p>
    <w:p>
      <w:r>
        <w:t>r_i,t,j = Rank(X_i,t,j) - 1N_t - 1  [0, 1]</w:t>
      </w:r>
    </w:p>
    <w:p>
      <w:r>
        <w:t>This rank transformation provides three distinct benefits: (1) robust protection against heavy-tailed financial outliers, (2) uniform scale invariance across different modalities, and (3) stationarity across macroeconomic regimes.</w:t>
      </w:r>
    </w:p>
    <w:p>
      <w:r>
        <w:t>To prevent data leakage, a 3-stage feature selection pipeline (scripts/select_features.py) was executed strictly on pre-2020 in-sample training data (146,959 observations) (lopez2018advances). Stage 1 filtered out features with &gt;10\% missing values. Stage 2 removed collinear features with Spearman |_j,k| &gt; 0.85. Stage 3 trained an in-sample Random Forest Regressor (breiman2001random) to rank and select the top 53 predictive features.</w:t>
      </w:r>
    </w:p>
    <w:p>
      <w:r>
        <w:t>Figure fig:ch3_corr_heatmap displays the correlation matrix of selected features, while Figure fig:ch3_rf_importance shows the Stage 3 Random Forest feature importance rankings.</w:t>
      </w:r>
    </w:p>
    <w:p>
      <w:r>
        <w:t>[width=0.82]./figures/selected_features_correlation.png</w:t>
      </w:r>
    </w:p>
    <w:p>
      <w:r>
        <w:t>Spearman Rank Correlation Heatmap of Selected 53 ML Features</w:t>
      </w:r>
    </w:p>
    <w:p>
      <w:r>
        <w:t>[width=0.82]./figures/selected_feature_importances.png</w:t>
      </w:r>
    </w:p>
    <w:p>
      <w:r>
        <w:t>Stage 3 Random Forest Feature Importance Rankings across Modalities</w:t>
      </w:r>
    </w:p>
    <w:p>
      <w:pPr>
        <w:spacing w:before="200" w:after="80"/>
        <w:ind w:firstLine="0"/>
      </w:pPr>
      <w:r>
        <w:rPr>
          <w:rFonts w:ascii="Times New Roman" w:hAnsi="Times New Roman"/>
          <w:b/>
          <w:color w:val="0A2240"/>
          <w:sz w:val="28"/>
        </w:rPr>
        <w:t>Baseline Econometric \&amp; Machine Learning Formulations</w:t>
      </w:r>
    </w:p>
    <w:p>
      <w:r>
        <w:t>To establish comparative benchmarks, I formulate four distinct model classes: linear factor regressions with robust covariance estimation, regularized linear shrinkage estimators, non-linear tree ensembles, and recurrent neural network sequence encoders.</w:t>
      </w:r>
    </w:p>
    <w:p>
      <w:pPr>
        <w:spacing w:before="160" w:after="80"/>
        <w:ind w:firstLine="0"/>
      </w:pPr>
      <w:r>
        <w:rPr>
          <w:rFonts w:ascii="Times New Roman" w:hAnsi="Times New Roman"/>
          <w:b/>
          <w:sz w:val="24"/>
        </w:rPr>
        <w:t>Fama-MacBeth 2-Pass Linear Regression \&amp; Newey-West HAC Estimation</w:t>
      </w:r>
    </w:p>
    <w:p>
      <w:r>
        <w:t>The benchmark linear asset pricing model follows the two-pass cross-sectional regression procedure of (fama1973risk), incorporating 1-day lagged factor loadings to prevent lookahead bias and heteroskedasticity and autocorrelation consistent (HAC) covariance matrices (newey1987simple).</w:t>
      </w:r>
    </w:p>
    <w:p>
      <w:r>
        <w:t>Pass 1: Rolling Time-Series Factor Loading Estimation</w:t>
      </w:r>
    </w:p>
    <w:p>
      <w:r>
        <w:t>For each individual stock i  \1, , N_t\ on trading day t, factor loadings (betas) are estimated over a rolling historical lookback window of W = 252 trading days (one calendar year). Let R_i,t = [R_i, t-W+1, R_i, t-W+2, , R_i,t]^T  R^W  1 denote the vector of historical daily excess returns for asset i, and let F_t  R^W  (K+1) represent the matrix of K benchmark factor returns plus a column of ones for the intercept:</w:t>
      </w:r>
    </w:p>
    <w:p>
      <w:r>
        <w:t>0.88!</w:t>
      </w:r>
    </w:p>
    <w:p>
      <w:r>
        <w:t>F_t = bmatrix</w:t>
      </w:r>
    </w:p>
    <w:p>
      <w:r>
        <w:t>1 &amp; F_1,\, t-W+1 &amp; F_2,\, t-W+1 &amp;  &amp; F_K,\, t-W+1 \\</w:t>
      </w:r>
    </w:p>
    <w:p>
      <w:r>
        <w:t>1 &amp; F_1,\, t-W+2 &amp; F_2,\, t-W+2 &amp;  &amp; F_K,\, t-W+2 \\</w:t>
      </w:r>
    </w:p>
    <w:p>
      <w:r>
        <w:t>&amp;  &amp;  &amp;  &amp;  \\</w:t>
      </w:r>
    </w:p>
    <w:p>
      <w:r>
        <w:t>1 &amp; F_1,\, t &amp; F_2,\, t &amp;  &amp; F_K,\, t</w:t>
      </w:r>
    </w:p>
    <w:p>
      <w:r>
        <w:t>The first-pass time-series Ordinary Least Squares (OLS) regression for stock i is formulated as:</w:t>
      </w:r>
    </w:p>
    <w:p>
      <w:r>
        <w:t>R_i,t = F_t _i,t + _i,t</w:t>
      </w:r>
    </w:p>
    <w:p>
      <w:r>
        <w:t>where _i,t = [_i,t, _i,1,t, _i,2,t, , _i,K,t]^T  R^(K+1)  1. The OLS point estimator is obtained by minimizing the sum of squared residuals:</w:t>
      </w:r>
    </w:p>
    <w:p>
      <w:r>
        <w:t>_i,t = _ (R_i,t - F_t )^T (R_i,t - F_t ) = ( F_t^T F_t )^-1 F_t^T R_i,t</w:t>
      </w:r>
    </w:p>
    <w:p>
      <w:r>
        <w:t>To enforce zero-lookahead protection, factor loadings _i,t estimated using data up to day t are indexed to predict returns at day t+1.</w:t>
      </w:r>
    </w:p>
    <w:p>
      <w:r>
        <w:t>Pass 2: Daily Cross-Sectional Factor Risk Premia Estimation</w:t>
      </w:r>
    </w:p>
    <w:p>
      <w:r>
        <w:t>On each trading day t+1, a cross-sectional OLS regression is estimated across all active constituent assets N_t+1 using the 1-day lagged factor loadings B_t = [1, _1,t, _2,t, , _N_t+1,t]^T  R^N_t+1  (K+1):</w:t>
      </w:r>
    </w:p>
    <w:p>
      <w:r>
        <w:t>R_t+1 = B_t _t+1 + _t+1</w:t>
      </w:r>
    </w:p>
    <w:p>
      <w:r>
        <w:t>where R_t+1 = [R_1,t+1, R_2,t+1, , R_N_t+1,t+1]^T  R^N_t+1  1 is the cross-section of realized forward returns, _t+1 = [_0,t+1, _1,t+1, , _K,t+1]^T  R^(K+1)  1 represents the vector of daily factor risk premia (and cross-sectional intercept _0,t+1), and _t+1 is the vector of cross-sectional pricing errors.</w:t>
      </w:r>
    </w:p>
    <w:p>
      <w:r>
        <w:t>The closed-form daily cross-sectional risk premium estimator is given by:</w:t>
      </w:r>
    </w:p>
    <w:p>
      <w:r>
        <w:t>_t+1 = ( B_t^T B_t )^-1 B_t^T R_t+1</w:t>
      </w:r>
    </w:p>
    <w:p>
      <w:r>
        <w:t>Time-Series Aggregation \&amp; Step-by-Step Newey-West HAC Proof</w:t>
      </w:r>
    </w:p>
    <w:p>
      <w:r>
        <w:t>Over an evaluation period of T trading days, the overall factor risk premium vector is estimated as the sample mean across daily cross-sectional estimates:</w:t>
      </w:r>
    </w:p>
    <w:p>
      <w:r>
        <w:t>= 1T _t=1^T _t</w:t>
      </w:r>
    </w:p>
    <w:p>
      <w:r>
        <w:t>Because daily factor risk premia estimates _t suffer from serial correlation (autocorrelation) due to overlapping return measurement horizons and conditional heteroskedasticity in asset volatility, standard i.i.d. variance estimators underestimate true standard errors, inflating test statistics.</w:t>
      </w:r>
    </w:p>
    <w:p>
      <w:r>
        <w:t>To derive a consistent estimator for the asymptotic covariance matrix of , let u_t = _t -   R^(K+1)  1 denote the vector of mean-zero risk premium innovations. The variance of the sample average factor risk premium is:</w:t>
      </w:r>
    </w:p>
    <w:p>
      <w:r>
        <w:t>Var() = Var( 1T _t=1^T _t ) = 1T^2 _t=1^T _s=1^T E[ u_t u_s^T ]</w:t>
      </w:r>
    </w:p>
    <w:p>
      <w:r>
        <w:t>Defining the sample autocovariance matrix at lag j as:</w:t>
      </w:r>
    </w:p>
    <w:p>
      <w:r>
        <w:t>_j = 1T _t=j+1^T u_t u_t-j^T,  for  j  0</w:t>
      </w:r>
    </w:p>
    <w:p>
      <w:r>
        <w:t>Equation (eq:ch3_var_gamma_sum) can be expanded into the sum of zero-lag covariance and off-diagonal cross-lag covariances:</w:t>
      </w:r>
    </w:p>
    <w:p>
      <w:r>
        <w:t>Var() = 1T [ _0 + _j=1^T-1 ( _j + _j^T ) ]</w:t>
      </w:r>
    </w:p>
    <w:p>
      <w:r>
        <w:t>Unweighted truncation of lag covariances at finite lag L &lt; T can lead to non-positive semi-definite covariance matrices in finite samples. The (newey1987simple) HAC covariance matrix estimator guarantees positive semi-definiteness by weighting lag autocovariances with the triangular Bartlett kernel w(j,L):</w:t>
      </w:r>
    </w:p>
    <w:p>
      <w:r>
        <w:t>_HAC = _0 + _j=1^L w(j, L) ( _j + _j^T )</w:t>
      </w:r>
    </w:p>
    <w:p>
      <w:r>
        <w:t>where the Bartlett kernel weights are defined as:</w:t>
      </w:r>
    </w:p>
    <w:p>
      <w:r>
        <w:t>w(j, L) = 1 - jL+1,  j = 1, 2, , L</w:t>
      </w:r>
    </w:p>
    <w:p>
      <w:r>
        <w:t>and the lag truncation bandwidth L is set according to the bandwidth selection rule L =  4 (T / 100)^2/9 .</w:t>
      </w:r>
    </w:p>
    <w:p>
      <w:r>
        <w:t>To prove that _HAC  0, express the Bartlett kernel as the spectral window resulting from the convolution of a rectangular sequence with itself. Define u_t = 0 for t  \1, , T\. Consider the smoothed sequence s_t = 1L+1 _m=0^L u_t+m. The sample covariance of s_t is positive semi-definite:</w:t>
      </w:r>
    </w:p>
    <w:p>
      <w:r>
        <w:t>M &amp;= 1T _t=-^ s_t s_t^T = 1T(L+1) _t=-^ ( _m=0^L u_t+m ) ( _n=0^L u_t+n^T )  0</w:t>
      </w:r>
    </w:p>
    <w:p>
      <w:r>
        <w:t>Expanding the double summation yields:</w:t>
      </w:r>
    </w:p>
    <w:p>
      <w:r>
        <w:t>M &amp;= 1T(L+1) _m=0^L _n=0^L _t=-^ u_t+m u_t+n^T = 1T(L+1) _m=0^L _n=0^L T _m-n \\</w:t>
      </w:r>
    </w:p>
    <w:p>
      <w:r>
        <w:t>&amp;= 1L+1 _k=-L^L (L + 1 - |k|) _k = _0 + _j=1^L ( 1 - jL+1 ) ( _j + _j^T ) = _HAC</w:t>
      </w:r>
    </w:p>
    <w:p>
      <w:r>
        <w:t>Since M is constructed as a sum of outer products s_t s_t^T, for any vector a  R^K+1, a^T _HAC a = 1T _t (a^T s_t)^2  0. Thus, _HAC is positive semi-definite.</w:t>
      </w:r>
    </w:p>
    <w:p>
      <w:r>
        <w:t>The Newey-West adjusted standard error for the k-th factor risk premium estimate _k is:</w:t>
      </w:r>
    </w:p>
    <w:p>
      <w:r>
        <w:t>SE_NW(_k) =  1T [ _HAC ]_kk</w:t>
      </w:r>
    </w:p>
    <w:p>
      <w:r>
        <w:t>and the test statistic for factor significance testing is evaluated as t(_k) = _kSE_NW(_k).</w:t>
      </w:r>
    </w:p>
    <w:p>
      <w:pPr>
        <w:spacing w:before="160" w:after="80"/>
        <w:ind w:firstLine="0"/>
      </w:pPr>
      <w:r>
        <w:rPr>
          <w:rFonts w:ascii="Times New Roman" w:hAnsi="Times New Roman"/>
          <w:b/>
          <w:sz w:val="24"/>
        </w:rPr>
        <w:t>Regularized Linear Models: ElasticNet, LASSO, \&amp; Ridge</w:t>
      </w:r>
    </w:p>
    <w:p>
      <w:r>
        <w:t>High-dimensional cross-sectional asset pricing settings with P characteristic features suffer from multicollinearity and sample overfitting under standard OLS. Regularized linear models introduce penalty structures to constrain coefficient magnitudes and perform feature selection (kozak2020shrinking).</w:t>
      </w:r>
    </w:p>
    <w:p>
      <w:r>
        <w:t>ElasticNet Objective Function</w:t>
      </w:r>
    </w:p>
    <w:p>
      <w:r>
        <w:t>Let y  R^N denote the vector of standardized forward returns across all asset-day observations, and let X  R^N  P denote the matrix of standardized stock characteristics. The ElasticNet estimator (zou2005regularization) solves the convex optimization problem:</w:t>
      </w:r>
    </w:p>
    <w:p>
      <w:r>
        <w:t>_  R^P L_EN() = 12N \|y - X\|_2^2 +  [  \|\|_1 + 1-2 \|\|_2^2 ]</w:t>
      </w:r>
    </w:p>
    <w:p>
      <w:r>
        <w:t>where  &gt; 0 controls the penalty intensity,   [0, 1] governs the ratio between the L_1 norm \|\|_1 = _j=1^P |_j| and the squared L_2 norm \|\|_2^2 = _j=1^P _j^2. Setting  = 1.0 yields the LASSO estimator (tibshirani1996regression), while  = 0.0 yields Ridge regression (hoerl1970ridge).</w:t>
      </w:r>
    </w:p>
    <w:p>
      <w:r>
        <w:t>Subgradient Calculus \&amp; Characterization of LASSO (L_1) Sparsity</w:t>
      </w:r>
    </w:p>
    <w:p>
      <w:r>
        <w:t>Because the L_1 norm is non-differentiable at _j = 0, optimization requires subgradient calculus. The subdifferential  |_j| of the absolute value function is defined as:</w:t>
      </w:r>
    </w:p>
    <w:p>
      <w:r>
        <w:t>|_j| = cases</w:t>
      </w:r>
    </w:p>
    <w:p>
      <w:r>
        <w:t>\ +1 \ &amp; if  _j &gt; 0 \\</w:t>
      </w:r>
    </w:p>
    <w:p>
      <w:r>
        <w:t>\ -1 \ &amp; if  _j &lt; 0 \\</w:t>
      </w:r>
    </w:p>
    <w:p>
      <w:r>
        <w:t>[-1, 1] &amp; if  _j = 0</w:t>
      </w:r>
    </w:p>
    <w:p>
      <w:r>
        <w:t>To derive the coordinate descent update rule for feature j, assume that the columns of X are standardized such that x_j^T x_j = N. Isolate feature j by defining the partial residual vector r^(j) = y - _k  j x_k _k. The unregularized OLS update for _j given fixed _-j is _j^OLS = 1N x_j^T r^(j).</w:t>
      </w:r>
    </w:p>
    <w:p>
      <w:r>
        <w:t>The first-order optimality condition for the ElasticNet objective requires 0  __j L_EN():</w:t>
      </w:r>
    </w:p>
    <w:p>
      <w:r>
        <w:t>-1N x_j^T (y - X) + (1-)_j +   v_j = 0,  where  v_j   |_j|</w:t>
      </w:r>
    </w:p>
    <w:p>
      <w:r>
        <w:t>Substituting y - X = r^(j) - x_j _j and using 1Nx_j^T x_j = 1:</w:t>
      </w:r>
    </w:p>
    <w:p>
      <w:r>
        <w:t>-_j^OLS + _j + (1-)_j +   v_j = 0  _j [ 1 + (1-) ] +   v_j = _j^OLS</w:t>
      </w:r>
    </w:p>
    <w:p>
      <w:r>
        <w:t>Solving Equation (eq:ch3_opt_condition) under three case conditions for _j^OLS:</w:t>
      </w:r>
    </w:p>
    <w:p>
      <w:r>
        <w:t>Case 1: _j &gt; 0. Here v_j = +1. Equation (eq:ch3_opt_condition) gives _j [1 + (1-)] = _j^OLS -  , requiring _j^OLS &gt;  . Thus:</w:t>
      </w:r>
    </w:p>
    <w:p>
      <w:r>
        <w:t>_j^* = _j^OLS -  1 + (1-)</w:t>
      </w:r>
    </w:p>
    <w:p>
      <w:r>
        <w:t>Case 2: _j &lt; 0. Here v_j = -1. Equation (eq:ch3_opt_condition) gives _j [1 + (1-)] = _j^OLS +  , requiring _j^OLS &lt; - . Thus:</w:t>
      </w:r>
    </w:p>
    <w:p>
      <w:r>
        <w:t>_j^* = _j^OLS +  1 + (1-)</w:t>
      </w:r>
    </w:p>
    <w:p>
      <w:r>
        <w:t>Case 3: _j = 0. Here v_j  [-1, 1]. Equation (eq:ch3_opt_condition) requires |_j^OLS|   . Thus, _j^* = 0.</w:t>
      </w:r>
    </w:p>
    <w:p>
      <w:r>
        <w:t>Combining these cases yields the closed-form Soft-Thresholding Operator S_(z) = sign(z) (0, |z| - ):</w:t>
      </w:r>
    </w:p>
    <w:p>
      <w:r>
        <w:t>_j^EN = S_ ( _j^OLS )1 +  (1-)</w:t>
      </w:r>
    </w:p>
    <w:p>
      <w:r>
        <w:t>Setting  = 1.0 yields the standard LASSO soft-thresholded estimator _j^LASSO = S_( _j^OLS ), which sets coefficients to zero whenever |_j^OLS|  , performing feature selection.</w:t>
      </w:r>
    </w:p>
    <w:p>
      <w:r>
        <w:t>Ridge (L_2) Shrinkage Bounds \&amp; SVD Derivation</w:t>
      </w:r>
    </w:p>
    <w:p>
      <w:r>
        <w:t>For Ridge regression ( = 0), the objective function is smooth and differentiable. Differentiating L_Ridge() with respect to  yields the closed-form Ridge estimator:</w:t>
      </w:r>
    </w:p>
    <w:p>
      <w:r>
        <w:t>_Ridge = ( X^T X + N  I_P )^-1 X^T y</w:t>
      </w:r>
    </w:p>
    <w:p>
      <w:r>
        <w:t>To derive L_2 shrinkage bounds, consider the Singular Value Decomposition (SVD) of the centered design matrix X = U  V^T, where U  R^N  P and V  R^P  P are orthonormal matrices (U^T U = I_P, V^T V = I_P), and  = diag(_1, _2, , _P) contains the singular values _1  _2    _P &gt; 0.</w:t>
      </w:r>
    </w:p>
    <w:p>
      <w:r>
        <w:t>Substituting the SVD into the standard OLS estimator _OLS = (X^T X)^-1 X^T y:</w:t>
      </w:r>
    </w:p>
    <w:p>
      <w:r>
        <w:t>_OLS = ( V ^2 V^T )^-1 V  U^T y = V ^-1 U^T y</w:t>
      </w:r>
    </w:p>
    <w:p>
      <w:r>
        <w:t>Substituting the SVD into the Ridge estimator Equation (eq:ch3_ridge_closed_form):</w:t>
      </w:r>
    </w:p>
    <w:p>
      <w:r>
        <w:t>_Ridge &amp;= ( V ^2 V^T + N  V I_P V^T )^-1 V  U^T y \\</w:t>
      </w:r>
    </w:p>
    <w:p>
      <w:r>
        <w:t>&amp;= ( V [ ^2 + N  I_P ] V^T )^-1 V  U^T y \\</w:t>
      </w:r>
    </w:p>
    <w:p>
      <w:r>
        <w:t>&amp;= V ( ^2 + N  I_P )^-1  U^T y</w:t>
      </w:r>
    </w:p>
    <w:p>
      <w:r>
        <w:t>Expressing _Ridge directly as a transformation of the unregularized OLS estimator _OLS:</w:t>
      </w:r>
    </w:p>
    <w:p>
      <w:r>
        <w:t>_Ridge &amp;= V ( ^2 + N  I_P )^-1 ^2 ^-1 U^T y \\</w:t>
      </w:r>
    </w:p>
    <w:p>
      <w:r>
        <w:t>&amp;= V diag( _j^2_j^2 + N  ) V^T _OLS</w:t>
      </w:r>
    </w:p>
    <w:p>
      <w:r>
        <w:t>Because N  &gt; 0 and _j^2 &gt; 0, the shrinkage factor satisfies:</w:t>
      </w:r>
    </w:p>
    <w:p>
      <w:r>
        <w:t>0 &lt; _j^2_j^2 + N  &lt; 1,   j  \1, , P\</w:t>
      </w:r>
    </w:p>
    <w:p>
      <w:r>
        <w:t>This shows that Ridge regression shrinks the OLS parameter vector along the principal component directions of X, with greater shrinkage applied to components with smaller singular values _j^2. Consequently, \|_Ridge\|_2 &lt; \|_OLS\|_2 for all  &gt; 0, bounding parameter variance and stabilizing prediction under collinearity.</w:t>
      </w:r>
    </w:p>
    <w:p>
      <w:pPr>
        <w:spacing w:before="160" w:after="80"/>
        <w:ind w:firstLine="0"/>
      </w:pPr>
      <w:r>
        <w:rPr>
          <w:rFonts w:ascii="Times New Roman" w:hAnsi="Times New Roman"/>
          <w:b/>
          <w:sz w:val="24"/>
        </w:rPr>
        <w:t>Non-Linear Tree Ensembles: Random Forest \&amp; XGBoost</w:t>
      </w:r>
    </w:p>
    <w:p>
      <w:r>
        <w:t>Decision tree ensembles map high-dimensional characteristic spaces into predicted returns by partitioning features into hyper-rectangular regions (gu2020empirical).</w:t>
      </w:r>
    </w:p>
    <w:p>
      <w:r>
        <w:t>Random Forest Bagging Variance Reduction Proof</w:t>
      </w:r>
    </w:p>
    <w:p>
      <w:r>
        <w:t>The Random Forest regressor (breiman2001random) constructs an ensemble of M decorrelated decision trees \T_1(x), T_2(x), , T_M(x)\, each trained on a bootstrap sample of size N with randomized feature subspace selection (m_try =  P ). The ensemble prediction is the average:</w:t>
      </w:r>
    </w:p>
    <w:p>
      <w:r>
        <w:t>f_RF(x) = 1M _m=1^M T_m(x)</w:t>
      </w:r>
    </w:p>
    <w:p>
      <w:r>
        <w:t>Assume each individual tree T_m(x) is identically distributed with variance Var(T_m(x)) = ^2, and that any pair of distinct trees (T_m, T_l) for m  l has pairwise correlation Corr(T_m(x), T_l(x)) = .</w:t>
      </w:r>
    </w:p>
    <w:p>
      <w:r>
        <w:t>Compute the variance of the ensemble estimator f_RF(x):</w:t>
      </w:r>
    </w:p>
    <w:p>
      <w:r>
        <w:t>Var( f_RF(x) ) &amp;= Var( 1M _m=1^M T_m(x) ) \\</w:t>
      </w:r>
    </w:p>
    <w:p>
      <w:r>
        <w:t>&amp;= 1M^2 [ _m=1^M Var(T_m(x)) + _m=1^M _l  m^M Cov(T_m(x), T_l(x)) ]</w:t>
      </w:r>
    </w:p>
    <w:p>
      <w:r>
        <w:t>Substitute Var(T_m(x)) = ^2 and Cov(T_m(x), T_l(x)) =  ^2:</w:t>
      </w:r>
    </w:p>
    <w:p>
      <w:r>
        <w:t>Var( f_RF(x) ) &amp;= 1M^2 [ M ^2 + M(M-1)  ^2 ] \\</w:t>
      </w:r>
    </w:p>
    <w:p>
      <w:r>
        <w:t>&amp;= ^2M + M-1M  ^2 =  ^2 + 1 - M ^2</w:t>
      </w:r>
    </w:p>
    <w:p>
      <w:r>
        <w:t>Taking the limit as the number of trees M  :</w:t>
      </w:r>
    </w:p>
    <w:p>
      <w:r>
        <w:t>_M   Var( f_RF(x) ) =  ^2</w:t>
      </w:r>
    </w:p>
    <w:p>
      <w:r>
        <w:t>Equation (eq:ch3_var_rf_final) demonstrates the variance-reduction mechanism of Random Forest:</w:t>
      </w:r>
    </w:p>
    <w:p>
      <w:r>
        <w:t>Bagging (bootstrap aggregation) reduces the term 1-M ^2 toward zero as the ensemble size M increases.</w:t>
      </w:r>
    </w:p>
    <w:p>
      <w:r>
        <w:t>Random Feature Subspace Selection reduces inter-tree correlation , lowering the variance floor  ^2.</w:t>
      </w:r>
    </w:p>
    <w:p>
      <w:r>
        <w:t>XGBoost Second-Order Taylor Expansion Loss Optimization</w:t>
      </w:r>
    </w:p>
    <w:p>
      <w:r>
        <w:t>Extreme Gradient Boosting (XGBoost) (chen2016xgboost) builds an additive model of M decision trees sequentially: y_i^(m) = y_i^(m-1) + f_m(x_i). At step m, the regularized objective function to minimize is:</w:t>
      </w:r>
    </w:p>
    <w:p>
      <w:r>
        <w:t>L^(m) = _i=1^N l( y_i, y_i^(m-1) + f_m(x_i) ) + (f_m)</w:t>
      </w:r>
    </w:p>
    <w:p>
      <w:r>
        <w:t>where l(, ) is a differentiable convex loss function, and the tree complexity regularization term (f_m) is defined for a tree with T leaf nodes and leaf weight vector w = [w_1, , w_T]^T  R^T as:</w:t>
      </w:r>
    </w:p>
    <w:p>
      <w:r>
        <w:t>(f_m) =  T + 12  \|w\|_2^2 =  T + 12  _j=1^T w_j^2</w:t>
      </w:r>
    </w:p>
    <w:p>
      <w:r>
        <w:t>Applying a second-order Taylor expansion to the loss function around the previous iteration forecast y_i^(m-1):</w:t>
      </w:r>
    </w:p>
    <w:p>
      <w:r>
        <w:t>l( y_i, y_i^(m-1) + f_m(x_i) )  l( y_i, y_i^(m-1) ) + g_i f_m(x_i) + 12 h_i f_m(x_i)^2</w:t>
      </w:r>
    </w:p>
    <w:p>
      <w:r>
        <w:t>where the first-order gradient g_i and second-order Hessian h_i are defined as:</w:t>
      </w:r>
    </w:p>
    <w:p>
      <w:r>
        <w:t>g_i =  l( y_i, y_i^(m-1) ) y_i^(m-1),  h_i = ^2 l( y_i, y_i^(m-1) ) (y_i^(m-1))^2</w:t>
      </w:r>
    </w:p>
    <w:p>
      <w:r>
        <w:t>Removing constant terms l(y_i, y_i^(m-1)) independent of tree structure f_m, the simplified objective at step m becomes:</w:t>
      </w:r>
    </w:p>
    <w:p>
      <w:r>
        <w:t>L^(m) = _i=1^N [ g_i f_m(x_i) + 12 h_i f_m(x_i)^2 ] +  T + 12  _j=1^T w_j^2</w:t>
      </w:r>
    </w:p>
    <w:p>
      <w:r>
        <w:t>Let I_j = \i  q(x_i) = j\ represent the instance set mapped to leaf node j by structure mapping function q: R^P  \1, , T\. Rewriting the summation across individual samples i as a summation over leaf nodes j:</w:t>
      </w:r>
    </w:p>
    <w:p>
      <w:r>
        <w:t>L^(m) = _j=1^T [ ( _i  I_j g_i ) w_j + 12 ( _i  I_j h_i +  ) w_j^2 ] +  T</w:t>
      </w:r>
    </w:p>
    <w:p>
      <w:r>
        <w:t>Define aggregate leaf gradient G_j = _i  I_j g_i and aggregate leaf Hessian H_j = _i  I_j h_i:</w:t>
      </w:r>
    </w:p>
    <w:p>
      <w:r>
        <w:t>L^(m) = _j=1^T [ G_j w_j + 12 (H_j + ) w_j^2 ] +  T</w:t>
      </w:r>
    </w:p>
    <w:p>
      <w:r>
        <w:t>Taking the partial derivative of L^(m) with respect to weight w_j and setting it to zero yields the optimal weight w_j^* for leaf j:</w:t>
      </w:r>
    </w:p>
    <w:p>
      <w:r>
        <w:t>L^(m) w_j = G_j + (H_j + ) w_j = 0  w_j^* = -G_jH_j +</w:t>
      </w:r>
    </w:p>
    <w:p>
      <w:r>
        <w:t>Substituting w_j^* back into the objective yields the minimized loss value (tree structure quality score):</w:t>
      </w:r>
    </w:p>
    <w:p>
      <w:r>
        <w:t>L^(m)* = -12 _j=1^T G_j^2H_j +  +  T</w:t>
      </w:r>
    </w:p>
    <w:p>
      <w:r>
        <w:t>When evaluating candidate node splits during tree construction, the gain score for splitting a node into left instance subset I_L and right instance subset I_R is evaluated as:</w:t>
      </w:r>
    </w:p>
    <w:p>
      <w:r>
        <w:t>Gain = 12 [ G_L^2H_L +  + G_R^2H_R +  - (G_L + G_R)^2H_L + H_R +  ] -</w:t>
      </w:r>
    </w:p>
    <w:p>
      <w:r>
        <w:t>where  acts as a penalty threshold requiring the improvement in loss reduction to exceed  before authorizing a node split.</w:t>
      </w:r>
    </w:p>
    <w:p>
      <w:pPr>
        <w:spacing w:before="160" w:after="80"/>
        <w:ind w:firstLine="0"/>
      </w:pPr>
      <w:r>
        <w:rPr>
          <w:rFonts w:ascii="Times New Roman" w:hAnsi="Times New Roman"/>
          <w:b/>
          <w:sz w:val="24"/>
        </w:rPr>
        <w:t>Baseline Sequence Encoder: PyTorch LSTM</w:t>
      </w:r>
    </w:p>
    <w:p>
      <w:r>
        <w:t>To encode temporal patterns across a sequential lookback window of T = 20 trading days, I use a multi-layer Long Short-Term Memory (LSTM) network (hochreiter1997long).</w:t>
      </w:r>
    </w:p>
    <w:p>
      <w:r>
        <w:t>For input vector x_t  R^d_in at sequence step t  \1, , T\, previous hidden state h_t-1  R^D, and previous cell state c_t-1  R^D, the PyTorch LSTM cell equations are formulated as:</w:t>
      </w:r>
    </w:p>
    <w:p>
      <w:r>
        <w:t>i_t &amp;= ( W_xi x_t + W_hi h_t-1 + b_ii + b_hi )  &amp;&amp;(Input Gate)  \\</w:t>
      </w:r>
    </w:p>
    <w:p>
      <w:r>
        <w:t>f_t &amp;= ( W_xf x_t + W_hf h_t-1 + b_if + b_hf )  &amp;&amp;(Forget Gate)  \\</w:t>
      </w:r>
    </w:p>
    <w:p>
      <w:r>
        <w:t>o_t &amp;= ( W_xo x_t + W_ho h_t-1 + b_io + b_ho )  &amp;&amp;(Output Gate)  \\</w:t>
      </w:r>
    </w:p>
    <w:p>
      <w:r>
        <w:t>c_t &amp;= ( W_xc x_t + W_hc h_t-1 + b_ic + b_hc )  &amp;&amp;(Cell Candidate)  \\</w:t>
      </w:r>
    </w:p>
    <w:p>
      <w:r>
        <w:t>c_t &amp;= f_t  c_t-1 + i_t  c_t  &amp;&amp;(Cell State Update)  \\</w:t>
      </w:r>
    </w:p>
    <w:p>
      <w:r>
        <w:t>h_t &amp;= o_t  (c_t)  &amp;&amp;(Hidden State Output)</w:t>
      </w:r>
    </w:p>
    <w:p>
      <w:r>
        <w:t>where (z) = (1 + e^-z)^-1 is the element-wise logistic sigmoid function, (z) = e^z - e^-ze^z + e^-z is the hyperbolic tangent activation, and  represents the Hadamard (element-wise) product. Weight matrices W_x  R^D  d_in, W_h  R^D  D, and bias vectors b_  R^D represent trainable parameters.</w:t>
      </w:r>
    </w:p>
    <w:p>
      <w:r>
        <w:t>The linear cell state update c_t = f_t  c_t-1 + i_t  c_t provides a constant error carousel. The partial Jacobian  c_t c_t-1 = diag(f_t) helps mitigate vanishing gradients over temporal sequences when the forget gate is active (f_t  1). The final hidden state h_T summarizes the sequence and is mapped via a linear projection head to yield predictions y_i, t+1 = w_y^T h_T + b_y.</w:t>
      </w:r>
    </w:p>
    <w:p>
      <w:pPr>
        <w:spacing w:before="200" w:after="80"/>
        <w:ind w:firstLine="0"/>
      </w:pPr>
      <w:r>
        <w:rPr>
          <w:rFonts w:ascii="Times New Roman" w:hAnsi="Times New Roman"/>
          <w:b/>
          <w:color w:val="0A2240"/>
          <w:sz w:val="28"/>
        </w:rPr>
        <w:t>Custom Architecture: TFDMGA Network</w:t>
      </w:r>
    </w:p>
    <w:p>
      <w:r>
        <w:t>The Temporal Fusion Deep Multimodal Gated Attention (TFDMGA) network is designed to address three limitations of standard models in asset pricing: (1) feature scale and frequency differences across modalities, (2) inter-modal characteristic dependencies, and (3) macroeconomic regime sensitivity.</w:t>
      </w:r>
    </w:p>
    <w:p>
      <w:r>
        <w:t>Figure fig:ch3_tfdmga_arch shows the complete neural network architecture of the TFDMGA model.</w:t>
      </w:r>
    </w:p>
    <w:p>
      <w:r>
        <w:t>scale=0.85, transform shape,</w:t>
      </w:r>
    </w:p>
    <w:p>
      <w:r>
        <w:t>node distance=1.0cm and 1.2cm,</w:t>
      </w:r>
    </w:p>
    <w:p>
      <w:r>
        <w:t>modbox/.style=draw=jpmNavy, fill=jpmLight, rectangle, rounded corners=5pt, align=center, inner sep=6pt, font=, text=jpmNavy, minimum width=2.5cm, minimum height=1.0cm,</w:t>
      </w:r>
    </w:p>
    <w:p>
      <w:r>
        <w:t>tcnbox/.style=draw=jpmGold, fill=white, rectangle, rounded corners=4pt, align=center, inner sep=6pt, font=, text=jpmDark, minimum width=2.5cm, minimum height=0.9cm,</w:t>
      </w:r>
    </w:p>
    <w:p>
      <w:r>
        <w:t>ringbox/.style=draw=jpmNavy, fill=jpmNavy!10!white, rectangle, rounded corners=5pt, align=center, inner sep=6pt, font=, text=jpmNavy, minimum width=8.5cm, minimum height=1.1cm,</w:t>
      </w:r>
    </w:p>
    <w:p>
      <w:r>
        <w:t>gatebox/.style=draw=jpmRed, fill=jpmRed!10!white, rectangle, rounded corners=5pt, align=center, inner sep=6pt, font=, text=jpmRed, minimum width=8.5cm, minimum height=1.1cm,</w:t>
      </w:r>
    </w:p>
    <w:p>
      <w:r>
        <w:t>fusebox/.style=draw=jpmGreen!80!black, fill=jpmGreen!10!white, rectangle, rounded corners=5pt, align=center, inner sep=6pt, font=, text=jpmGreen!80!black, minimum width=8.5cm, minimum height=1.0cm,</w:t>
      </w:r>
    </w:p>
    <w:p>
      <w:r>
        <w:t>headbox/.style=draw=jpmNavy, fill=jpmNavy, rectangle, rounded corners=5pt, align=center, inner sep=6pt, font=, text=white, minimum width=2.4cm, minimum height=0.9cm,</w:t>
      </w:r>
    </w:p>
    <w:p>
      <w:r>
        <w:t>arrow/.style=-Stealth, thick, draw=jpmNavy</w:t>
      </w:r>
    </w:p>
    <w:p>
      <w:r>
        <w:t>(x_tech) [modbox] Raw Technicals\\x_tech  R^B  T  16;</w:t>
      </w:r>
    </w:p>
    <w:p>
      <w:r>
        <w:t>(x_fund) [modbox, right=0.8cm of x_tech] Raw Fundamentals\\x_fund  R^B  T  30;</w:t>
      </w:r>
    </w:p>
    <w:p>
      <w:r>
        <w:t>(x_sent) [modbox, right=0.8cm of x_fund] Raw Sentiment\\x_sent  R^B  T  2;</w:t>
      </w:r>
    </w:p>
    <w:p>
      <w:r>
        <w:t>(x_macro) [modbox, right=0.8cm of x_sent] Raw Macro\\x_macro  R^B  T  5;</w:t>
      </w:r>
    </w:p>
    <w:p>
      <w:r>
        <w:t>(tcn_tech) [tcnbox, below=0.8cm of x_tech] Causal TCN Encoder\\(Dim D = 64);</w:t>
      </w:r>
    </w:p>
    <w:p>
      <w:r>
        <w:t>(tcn_fund) [tcnbox, below=0.8cm of x_fund] Causal TCN Encoder\\(Dim D = 64);</w:t>
      </w:r>
    </w:p>
    <w:p>
      <w:r>
        <w:t>(tcn_sent) [tcnbox, below=0.8cm of x_sent] Causal TCN Encoder\\(Dim D = 64);</w:t>
      </w:r>
    </w:p>
    <w:p>
      <w:r>
        <w:t>(tcn_macro) [tcnbox, below=0.8cm of x_macro] Causal TCN Encoder\\(Dim D = 64);</w:t>
      </w:r>
    </w:p>
    <w:p>
      <w:r>
        <w:t>(ring) [ringbox, below=1.2cm of (tcn_fund.south)!0.5!(tcn_sent.south)]</w:t>
      </w:r>
    </w:p>
    <w:p>
      <w:r>
        <w:t>Sequential Directed Cross-Modal Ring Attention Cascade\\</w:t>
      </w:r>
    </w:p>
    <w:p>
      <w:r>
        <w:t>Technical  Sentiment  Fundamental  Macro  Technical</w:t>
      </w:r>
    </w:p>
    <w:p>
      <w:r>
        <w:t>(gate) [gatebox, below=0.8cm of ring]</w:t>
      </w:r>
    </w:p>
    <w:p>
      <w:r>
        <w:t>3-Way Macro Dynamic Gating Network\\</w:t>
      </w:r>
    </w:p>
    <w:p>
      <w:r>
        <w:t>Temperature-Scaled Softmax Trust Weights: w = [w_tech, w_fund, w_sent],   w_m = 1</w:t>
      </w:r>
    </w:p>
    <w:p>
      <w:r>
        <w:t>(fuse) [fusebox, below=0.8cm of gate]</w:t>
      </w:r>
    </w:p>
    <w:p>
      <w:r>
        <w:t>Residual Fusion \&amp; Pre-LN Transformer Encoder Stack\\</w:t>
      </w:r>
    </w:p>
    <w:p>
      <w:r>
        <w:t>h_fused = w_tech h_tech + w_fund h_fund + w_sent h_sent + Residual FFN</w:t>
      </w:r>
    </w:p>
    <w:p>
      <w:r>
        <w:t>(head21) [headbox, below=1.0cm of fuse] Monthly Head\\y_21d (21-Day Return);</w:t>
      </w:r>
    </w:p>
    <w:p>
      <w:r>
        <w:t>(head1) [headbox, left=0.8cm of head21] Daily Head\\y_1d (1-Day Return);</w:t>
      </w:r>
    </w:p>
    <w:p>
      <w:r>
        <w:t>(head126) [headbox, right=0.8cm of head21] Six-Month Head\\y_126d (126-Day Return);</w:t>
      </w:r>
    </w:p>
    <w:p>
      <w:r>
        <w:t>[arrow] (x_tech) -- (tcn_tech);</w:t>
      </w:r>
    </w:p>
    <w:p>
      <w:r>
        <w:t>[arrow] (x_fund) -- (tcn_fund);</w:t>
      </w:r>
    </w:p>
    <w:p>
      <w:r>
        <w:t>[arrow] (x_sent) -- (tcn_sent);</w:t>
      </w:r>
    </w:p>
    <w:p>
      <w:r>
        <w:t>[arrow] (x_macro) -- (tcn_macro);</w:t>
      </w:r>
    </w:p>
    <w:p>
      <w:r>
        <w:t>[arrow] (tcn_tech) -- (ring.north -| tcn_tech);</w:t>
      </w:r>
    </w:p>
    <w:p>
      <w:r>
        <w:t>[arrow] (tcn_fund) -- (ring.north -| tcn_fund);</w:t>
      </w:r>
    </w:p>
    <w:p>
      <w:r>
        <w:t>[arrow] (tcn_sent) -- (ring.north -| tcn_sent);</w:t>
      </w:r>
    </w:p>
    <w:p>
      <w:r>
        <w:t>[arrow] (tcn_macro) -- (ring.north -| tcn_macro);</w:t>
      </w:r>
    </w:p>
    <w:p>
      <w:r>
        <w:t>[arrow] (ring) -- (gate);</w:t>
      </w:r>
    </w:p>
    <w:p>
      <w:r>
        <w:t>[arrow] (gate) -- (fuse);</w:t>
      </w:r>
    </w:p>
    <w:p>
      <w:r>
        <w:t>[arrow] (fuse.south -| head1) -- (head1);</w:t>
      </w:r>
    </w:p>
    <w:p>
      <w:r>
        <w:t>[arrow] (fuse.south -| head21) -- (head21);</w:t>
      </w:r>
    </w:p>
    <w:p>
      <w:r>
        <w:t>[arrow] (fuse.south -| head126) -- (head126);</w:t>
      </w:r>
    </w:p>
    <w:p>
      <w:r>
        <w:t>Architecture Diagram of the Temporal Fusion Deep Multimodal Gated Attention (TFDMGA) Network</w:t>
      </w:r>
    </w:p>
    <w:p>
      <w:pPr>
        <w:spacing w:before="160" w:after="80"/>
        <w:ind w:firstLine="0"/>
      </w:pPr>
      <w:r>
        <w:rPr>
          <w:rFonts w:ascii="Times New Roman" w:hAnsi="Times New Roman"/>
          <w:b/>
          <w:sz w:val="24"/>
        </w:rPr>
        <w:t>Temporal Feature Encoding via Causal 1D Dilated TCN</w:t>
      </w:r>
    </w:p>
    <w:p>
      <w:r>
        <w:t>Financial input features are partitioned into four distinct modalities: Technical Signals (x_tech  R^B  T  16), Fundamental Metrics (x_fund  R^B  T  30), Sentiment Scores (x_sent  R^B  T  2), and Macroeconomic Series (x_macro  R^B  T  5).</w:t>
      </w:r>
    </w:p>
    <w:p>
      <w:r>
        <w:t>Each modality sequence is processed by a Causal 1D Dilated Temporal Convolutional Network (TCN) encoder (bai2018empirical).</w:t>
      </w:r>
    </w:p>
    <w:p>
      <w:r>
        <w:t>Let x_m(t)  R^C_in denote the input vector for modality m at sequence step t  \1, , T\. A 1D dilated convolution with kernel filter f: \0, , K-1\  R^C_out  C_in and dilation factor d is formulated as:</w:t>
      </w:r>
    </w:p>
    <w:p>
      <w:r>
        <w:t>(y *_d f)(t) = _k=0^K-1 f(k)  x_m(t - d  k)</w:t>
      </w:r>
    </w:p>
    <w:p>
      <w:r>
        <w:t>Causality is enforced by zero-padding the sequence leftward by (K-1)  d steps, ensuring that output (y *_d f)(t) depends solely on historical entries x_m(t - d  k) for k  0, eliminating lookahead leakage.</w:t>
      </w:r>
    </w:p>
    <w:p>
      <w:r>
        <w:t>Derivation of Receptive Field Expansion</w:t>
      </w:r>
    </w:p>
    <w:p>
      <w:r>
        <w:t>For a stacked TCN network consisting of L dilated convolutional layers with fixed kernel size K and layer-specific dilation factors d_l for l  \0, 1, , L-1\:</w:t>
      </w:r>
    </w:p>
    <w:p>
      <w:r>
        <w:t>At layer l=0, a single convolutional filter covers K temporal steps. Each additional layer l expands the effective receptive field by (K-1) d_l steps.</w:t>
      </w:r>
    </w:p>
    <w:p>
      <w:r>
        <w:t>The cumulative temporal receptive field R across L stacked layers is:</w:t>
      </w:r>
    </w:p>
    <w:p>
      <w:r>
        <w:t>R &amp;= 1 + _l=0^L-1 (K - 1) d_l</w:t>
      </w:r>
    </w:p>
    <w:p>
      <w:r>
        <w:t>In my architecture, dilation factors grow exponentially with base 2: d_l = 2^l for l  \0, 1, , L-1\. Substituting d_l = 2^l:</w:t>
      </w:r>
    </w:p>
    <w:p>
      <w:r>
        <w:t>R &amp;= 1 + (K - 1) _l=0^L-1 2^l</w:t>
      </w:r>
    </w:p>
    <w:p>
      <w:r>
        <w:t>Applying the geometric series summation formula _l=0^L-1 2^l = 2^L - 1:</w:t>
      </w:r>
    </w:p>
    <w:p>
      <w:r>
        <w:t>R &amp;= 1 + (K - 1)(2^L - 1)</w:t>
      </w:r>
    </w:p>
    <w:p>
      <w:r>
        <w:t>For my model configuration with kernel size K = 3 and L = 3 layers with dilations d  \1, 2, 4\:</w:t>
      </w:r>
    </w:p>
    <w:p>
      <w:r>
        <w:t>R = 1 + (3 - 1)(2^3 - 1) = 1 + 2(7) = 15  trading days</w:t>
      </w:r>
    </w:p>
    <w:p>
      <w:r>
        <w:t>This shows that a 3-layer TCN stack with K=3 covers 15 trading days of temporal context without loss of resolution. The output latent representation for each modality m is projected to dimension D = 64: H_m  R^B  T  D.</w:t>
      </w:r>
    </w:p>
    <w:p>
      <w:pPr>
        <w:spacing w:before="160" w:after="80"/>
        <w:ind w:firstLine="0"/>
      </w:pPr>
      <w:r>
        <w:rPr>
          <w:rFonts w:ascii="Times New Roman" w:hAnsi="Times New Roman"/>
          <w:b/>
          <w:sz w:val="24"/>
        </w:rPr>
        <w:t>Sequential Directed Ring Attention Cascade</w:t>
      </w:r>
    </w:p>
    <w:p>
      <w:r>
        <w:t>To capture inter-modal cross-attentive dependencies without generating O(M^2) combinatorial explosion across M=4 modalities, TFDMGA structures multi-modal cross-attention into a Sequential Directed Ring Attention Cascade:</w:t>
      </w:r>
    </w:p>
    <w:p>
      <w:r>
        <w:t>Technical  Sentiment  Fundamental  Macro  Technical</w:t>
      </w:r>
    </w:p>
    <w:p>
      <w:r>
        <w:t>For any directed cross-modal pair where target modality representation H_B is updated by source modality representation H_A:</w:t>
      </w:r>
    </w:p>
    <w:p>
      <w:r>
        <w:t>First, Query (Q_B), Key (K_A), and Value (V_A) tensors are linearly projected using weight matrices W_Q, W_K, W_V  R^D  D:</w:t>
      </w:r>
    </w:p>
    <w:p>
      <w:r>
        <w:t>Q_B = H_B W_Q,  K_A = H_A W_K,  V_A = H_A W_V</w:t>
      </w:r>
    </w:p>
    <w:p>
      <w:r>
        <w:t>Multi-Head Cross-Attention across h=4 parallel attention heads (head dimension d_k = D/h = 16) is computed as:</w:t>
      </w:r>
    </w:p>
    <w:p>
      <w:r>
        <w:t>Head_i(Q_B, K_A, V_A) = softmax( Q_B,i K_A,i^Td_k ) V_A,i</w:t>
      </w:r>
    </w:p>
    <w:p>
      <w:r>
        <w:t>MultiHead(Q_B, K_A, V_A) = [ Head_1 ; Head_2 ; Head_3 ; Head_4 ] W_O</w:t>
      </w:r>
    </w:p>
    <w:p>
      <w:r>
        <w:t>where W_O  R^D  D.</w:t>
      </w:r>
    </w:p>
    <w:p>
      <w:r>
        <w:t>The updated target representation H_B incorporates a residual skip connection followed by Pre-Layer Normalization (Pre-LN):</w:t>
      </w:r>
    </w:p>
    <w:p>
      <w:r>
        <w:t>H_B = LayerNorm( H_B + MultiHead( &amp;LayerNorm(H_B), \\</w:t>
      </w:r>
    </w:p>
    <w:p>
      <w:r>
        <w:t>&amp;LayerNorm(H_A), LayerNorm(H_A) ) )</w:t>
      </w:r>
    </w:p>
    <w:p>
      <w:r>
        <w:t>Sequential execution around the directed ring cascade produces cross-attentively refined latent matrices for all modalities: H_tech, H_fund, H_sent, H_macro  R^B  T  D.</w:t>
      </w:r>
    </w:p>
    <w:p>
      <w:pPr>
        <w:spacing w:before="160" w:after="80"/>
        <w:ind w:firstLine="0"/>
      </w:pPr>
      <w:r>
        <w:rPr>
          <w:rFonts w:ascii="Times New Roman" w:hAnsi="Times New Roman"/>
          <w:b/>
          <w:sz w:val="24"/>
        </w:rPr>
        <w:t>3-Way Macro Dynamic Gating Network</w:t>
      </w:r>
    </w:p>
    <w:p>
      <w:r>
        <w:t>The market regime dynamic gating network computes time-varying trust weights w = [w_tech, w_fund, w_sent]^T conditioned on ambient macroeconomic environment features.</w:t>
      </w:r>
    </w:p>
    <w:p>
      <w:r>
        <w:t>Let H_macro  R^B  T  D denote the macro representation. Average pooling across sequence length T yields global macro state vector h_macro = 1T _t=1^T H_macro(t)  R^D.</w:t>
      </w:r>
    </w:p>
    <w:p>
      <w:r>
        <w:t>Raw modality trust scores s = [s_tech, s_fund, s_sent]^T  R^3 are computed via a 2-layer Multi-Layer Perceptron (MLP) with ReLU non-linear activation:</w:t>
      </w:r>
    </w:p>
    <w:p>
      <w:r>
        <w:t>s = W_g2  ReLU( W_g1 h_macro + b_g1 ) + b_g2</w:t>
      </w:r>
    </w:p>
    <w:p>
      <w:r>
        <w:t>where W_g1  R^(D/2)  D, b_g1  R^D/2, W_g2  R^3  (D/2), and b_g2  R^3.</w:t>
      </w:r>
    </w:p>
    <w:p>
      <w:r>
        <w:t>Dynamic trust weights w_m for modality m  \tech, fund, sent\ are derived using temperature-scaled softmax activation:</w:t>
      </w:r>
    </w:p>
    <w:p>
      <w:r>
        <w:t>w_m = (s_m / )_j  \tech, fund, sent\ (s_j / )</w:t>
      </w:r>
    </w:p>
    <w:p>
      <w:r>
        <w:t>where  &gt; 0 is the temperature hyperparameter ( = 0.50).</w:t>
      </w:r>
    </w:p>
    <w:p>
      <w:r>
        <w:t>The temperature-scaled softmax mechanism satisfies two boundary conditions:</w:t>
      </w:r>
    </w:p>
    <w:p>
      <w:r>
        <w:t>Probability Simplex Constraint: By construction, w_m &gt; 0 and _m w_m = 1.</w:t>
      </w:r>
    </w:p>
    <w:p>
      <w:r>
        <w:t>High-Temperature Limit (  ):</w:t>
      </w:r>
    </w:p>
    <w:p>
      <w:r>
        <w:t>_   w_m &amp;= _   (s_m / )_j=1^3 (s_j / ) = (0)_j=1^3 (0) = 13</w:t>
      </w:r>
    </w:p>
    <w:p>
      <w:r>
        <w:t>As   , modality weights converge to a uniform distribution, assigning equal trust across modalities.</w:t>
      </w:r>
    </w:p>
    <w:p>
      <w:r>
        <w:t>Low-Temperature Limit (  0^+): Let m^* = _j s_j. Assuming a unique maximum:</w:t>
      </w:r>
    </w:p>
    <w:p>
      <w:r>
        <w:t>_  0^+ w_m &amp;= _  0^+ ((s_m - s_m^*) / )_j=1^3 ((s_j - s_m^*) / ) = cases</w:t>
      </w:r>
    </w:p>
    <w:p>
      <w:r>
        <w:t>1 &amp; if  m = m^* \\</w:t>
      </w:r>
    </w:p>
    <w:p>
      <w:r>
        <w:t>0 &amp; if  m  m^*</w:t>
      </w:r>
    </w:p>
    <w:p>
      <w:r>
        <w:t>As   0^+, the gating network approaches a deterministic argmax selection (one-hot routing).</w:t>
      </w:r>
    </w:p>
    <w:p>
      <w:r>
        <w:t>Setting  = 0.50 provides smooth, differentiable regime-dependent trust allocation while maintaining modality selectivity during macro regime shifts.</w:t>
      </w:r>
    </w:p>
    <w:p>
      <w:pPr>
        <w:spacing w:before="160" w:after="80"/>
        <w:ind w:firstLine="0"/>
      </w:pPr>
      <w:r>
        <w:rPr>
          <w:rFonts w:ascii="Times New Roman" w:hAnsi="Times New Roman"/>
          <w:b/>
          <w:sz w:val="24"/>
        </w:rPr>
        <w:t>Residual Fusion Block \&amp; Pre-LN Transformer Encoder</w:t>
      </w:r>
    </w:p>
    <w:p>
      <w:r>
        <w:t>The gated modality representations are aggregated via dynamic trust weight convex combination:</w:t>
      </w:r>
    </w:p>
    <w:p>
      <w:r>
        <w:t>H_gated = w_tech H_tech + w_fund H_fund + w_sent H_sent  R^B  T  D</w:t>
      </w:r>
    </w:p>
    <w:p>
      <w:r>
        <w:t>H_gated is fed into a 2-layer Pre-Layer Normalization (Pre-LN) Transformer Encoder stack (vaswani2017attention, xiong2020layer). For layer l  \1, 2\:</w:t>
      </w:r>
    </w:p>
    <w:p>
      <w:r>
        <w:t>Step 1: Pre-LN Multi-Head Self-Attention (MHSA):</w:t>
      </w:r>
    </w:p>
    <w:p>
      <w:r>
        <w:t>Z^(l) = H^(l-1) + MHSA( LayerNorm(H^(l-1)) )</w:t>
      </w:r>
    </w:p>
    <w:p>
      <w:r>
        <w:t>Step 2: Pre-LN Position-wise Feed-Forward Network (FFN) with GELU non-linearity (hendrycks2016gaussian):</w:t>
      </w:r>
    </w:p>
    <w:p>
      <w:r>
        <w:t>H^(l) = Z^(l) + FFN( LayerNorm(Z^(l)) )</w:t>
      </w:r>
    </w:p>
    <w:p>
      <w:r>
        <w:t>where FFN(x) = W_f2  GELU(W_f1 x + b_f1) + b_f2, with expansion dimension d_ff = 4D = 256.</w:t>
      </w:r>
    </w:p>
    <w:p>
      <w:r>
        <w:t>The sequence temporal dimension is pooled using attention pooling to construct the final fused representation vector h_fused  R^B  D.</w:t>
      </w:r>
    </w:p>
    <w:p>
      <w:pPr>
        <w:spacing w:before="160" w:after="80"/>
        <w:ind w:firstLine="0"/>
      </w:pPr>
      <w:r>
        <w:rPr>
          <w:rFonts w:ascii="Times New Roman" w:hAnsi="Times New Roman"/>
          <w:b/>
          <w:sz w:val="24"/>
        </w:rPr>
        <w:t>Multi-Task Multi-Head Objective Function</w:t>
      </w:r>
    </w:p>
    <w:p>
      <w:r>
        <w:t>TFDMGA simultaneously forecasts stock returns across three investment horizons: Daily (h=1d), Monthly (h=21d), and Six-Month (h=126d). Three linear projection heads map h_fused to target return forecasts:</w:t>
      </w:r>
    </w:p>
    <w:p>
      <w:r>
        <w:t>y_i,t+h^(h) = w_h^T h_fused, i + b_h,  for  h  \1d, 21d, 126d\</w:t>
      </w:r>
    </w:p>
    <w:p>
      <w:r>
        <w:t>The total model loss is evaluated as a multi-task composite loss function:</w:t>
      </w:r>
    </w:p>
    <w:p>
      <w:r>
        <w:t>L_Total = L_Huber + _rank L_rank + _IC L_IC</w:t>
      </w:r>
    </w:p>
    <w:p>
      <w:r>
        <w:t>where _rank = 0.50 and _IC = 1.0 weight relative ranking and correlation alignment.</w:t>
      </w:r>
    </w:p>
    <w:p>
      <w:r>
        <w:t>Component 1: Smooth L_1 Huber Loss</w:t>
      </w:r>
    </w:p>
    <w:p>
      <w:r>
        <w:t>To provide robustness against fat-tailed stock return outliers, point prediction accuracy is optimized using Smooth L_1 Huber Loss (threshold  = 1.0):</w:t>
      </w:r>
    </w:p>
    <w:p>
      <w:r>
        <w:t>L_Huber(y, y) = 1N _i=1^N cases</w:t>
      </w:r>
    </w:p>
    <w:p>
      <w:r>
        <w:t>12 (y_i - y_i)^2 &amp; if  |y_i - y_i|   \\</w:t>
      </w:r>
    </w:p>
    <w:p>
      <w:r>
        <w:t>|y_i - y_i| - 12^2 &amp; otherwise</w:t>
      </w:r>
    </w:p>
    <w:p>
      <w:r>
        <w:t>Component 2: Soft Margin Pairwise Ranking Loss</w:t>
      </w:r>
    </w:p>
    <w:p>
      <w:r>
        <w:t>To directly optimize cross-sectional asset ranking performance for portfolio construction:</w:t>
      </w:r>
    </w:p>
    <w:p>
      <w:r>
        <w:t>L_rank = 1|P| _(i,j)  P ( 0, -sign(y_i - y_j)(y_i - y_j) + _margin )</w:t>
      </w:r>
    </w:p>
    <w:p>
      <w:r>
        <w:t>where P = \(i,j)  i  j\ is the set of cross-sectional asset pairs, and _margin = 0.10 is the ranking margin threshold.</w:t>
      </w:r>
    </w:p>
    <w:p>
      <w:r>
        <w:t>Component 3: Differentiable Pearson Information Coefficient (IC) Loss</w:t>
      </w:r>
    </w:p>
    <w:p>
      <w:r>
        <w:t>To maximize cross-sectional rank correlation directly during backpropagation, I formulate a differentiable Pearson IC loss:</w:t>
      </w:r>
    </w:p>
    <w:p>
      <w:r>
        <w:t>L_IC = 1 - (y, y) = 1 - _i=1^N (y_i - y)(y_i - y) _i=1^N (y_i - y)^2 _i=1^N (y_i - y)^2</w:t>
      </w:r>
    </w:p>
    <w:p>
      <w:r>
        <w:t>where y = 1N_i y_i and y = 1N_i y_i. Minimizing L_IC directly maximizes the Information Coefficient (y, y), aligning model parameter gradients with cross-sectional signal strength.</w:t>
      </w:r>
    </w:p>
    <w:p>
      <w:pPr>
        <w:spacing w:before="200" w:after="80"/>
        <w:ind w:firstLine="0"/>
      </w:pPr>
      <w:r>
        <w:rPr>
          <w:rFonts w:ascii="Times New Roman" w:hAnsi="Times New Roman"/>
          <w:b/>
          <w:color w:val="0A2240"/>
          <w:sz w:val="28"/>
        </w:rPr>
        <w:t>Cross-Validation \&amp; Walk-Forward Evaluation Scheme</w:t>
      </w:r>
    </w:p>
    <w:p>
      <w:r>
        <w:t>To eliminate backtest overfitting and lookahead contamination, model training and out-of-sample evaluation follow a 5-Fold Expanding-Window Walk-Forward Scheme spanning 2015 through 2024 (lopez2018advances).</w:t>
      </w:r>
    </w:p>
    <w:p>
      <w:r>
        <w:t>Figure fig:ch3_walk_forward_scheme presents the expanding-window walk-forward validation structure.</w:t>
      </w:r>
    </w:p>
    <w:p>
      <w:r>
        <w:t>scale=0.9, transform shape,</w:t>
      </w:r>
    </w:p>
    <w:p>
      <w:r>
        <w:t>trainbox/.style=draw=jpmNavy, fill=jpmNavy!20!white, rectangle, inner sep=4pt, font=, text=jpmNavy, minimum height=0.6cm,</w:t>
      </w:r>
    </w:p>
    <w:p>
      <w:r>
        <w:t>valbox/.style=draw=jpmGold, fill=jpmGold!30!white, rectangle, inner sep=4pt, font=, text=jpmDark, minimum height=0.6cm,</w:t>
      </w:r>
    </w:p>
    <w:p>
      <w:r>
        <w:t>testbox/.style=draw=jpmRed, fill=jpmRed!30!white, rectangle, inner sep=4pt, font=, text=jpmRed, minimum height=0.6cm</w:t>
      </w:r>
    </w:p>
    <w:p>
      <w:r>
        <w:t>at (0, 3.5) [font=] 2015;</w:t>
      </w:r>
    </w:p>
    <w:p>
      <w:r>
        <w:t>at (1.5, 3.5) [font=] 2016;</w:t>
      </w:r>
    </w:p>
    <w:p>
      <w:r>
        <w:t>at (3.0, 3.5) [font=] 2017;</w:t>
      </w:r>
    </w:p>
    <w:p>
      <w:r>
        <w:t>at (4.5, 3.5) [font=] 2018;</w:t>
      </w:r>
    </w:p>
    <w:p>
      <w:r>
        <w:t>at (6.0, 3.5) [font=] 2019;</w:t>
      </w:r>
    </w:p>
    <w:p>
      <w:r>
        <w:t>at (7.5, 3.5) [font=, text=jpmRed] 2020;</w:t>
      </w:r>
    </w:p>
    <w:p>
      <w:r>
        <w:t>at (9.0, 3.5) [font=, text=jpmRed] 2021;</w:t>
      </w:r>
    </w:p>
    <w:p>
      <w:r>
        <w:t>at (10.5, 3.5) [font=, text=jpmRed] 2022;</w:t>
      </w:r>
    </w:p>
    <w:p>
      <w:r>
        <w:t>at (12.0, 3.5) [font=, text=jpmRed] 2023;</w:t>
      </w:r>
    </w:p>
    <w:p>
      <w:r>
        <w:t>at (13.5, 3.5) [font=, text=jpmRed] 2024;</w:t>
      </w:r>
    </w:p>
    <w:p>
      <w:r>
        <w:t>at (-1.2, 2.5) [font=] Fold 1:;</w:t>
      </w:r>
    </w:p>
    <w:p>
      <w:r>
        <w:t>(tr1) [trainbox, minimum width=6.0cm] at (2.25, 2.5) In-Sample Train (2015--2018);</w:t>
      </w:r>
    </w:p>
    <w:p>
      <w:r>
        <w:t>(va1) [valbox, minimum width=1.5cm] at (6.0, 2.5) Val (2019);</w:t>
      </w:r>
    </w:p>
    <w:p>
      <w:r>
        <w:t>(te1) [testbox, minimum width=1.5cm] at (7.5, 2.5) OOS 2020;</w:t>
      </w:r>
    </w:p>
    <w:p>
      <w:r>
        <w:t>at (-1.2, 1.8) [font=] Fold 2:;</w:t>
      </w:r>
    </w:p>
    <w:p>
      <w:r>
        <w:t>(tr2) [trainbox, minimum width=7.5cm] at (3.0, 1.8) In-Sample Train (2015--2019);</w:t>
      </w:r>
    </w:p>
    <w:p>
      <w:r>
        <w:t>(va2) [valbox, minimum width=1.5cm] at (7.5, 1.8) Val (2020);</w:t>
      </w:r>
    </w:p>
    <w:p>
      <w:r>
        <w:t>(te2) [testbox, minimum width=1.5cm] at (9.0, 1.8) OOS 2021;</w:t>
      </w:r>
    </w:p>
    <w:p>
      <w:r>
        <w:t>at (-1.2, 1.1) [font=] Fold 3:;</w:t>
      </w:r>
    </w:p>
    <w:p>
      <w:r>
        <w:t>(tr3) [trainbox, minimum width=9.0cm] at (3.75, 1.1) In-Sample Train (2015--2020);</w:t>
      </w:r>
    </w:p>
    <w:p>
      <w:r>
        <w:t>(va3) [valbox, minimum width=1.5cm] at (9.0, 1.1) Val (2021);</w:t>
      </w:r>
    </w:p>
    <w:p>
      <w:r>
        <w:t>(te3) [testbox, minimum width=1.5cm] at (10.5, 1.1) OOS 2022;</w:t>
      </w:r>
    </w:p>
    <w:p>
      <w:r>
        <w:t>at (-1.2, 0.4) [font=] Fold 4:;</w:t>
      </w:r>
    </w:p>
    <w:p>
      <w:r>
        <w:t>(tr4) [trainbox, minimum width=10.5cm] at (4.5, 0.4) In-Sample Train (2015--2021);</w:t>
      </w:r>
    </w:p>
    <w:p>
      <w:r>
        <w:t>(va4) [valbox, minimum width=1.5cm] at (10.5, 0.4) Val (2022);</w:t>
      </w:r>
    </w:p>
    <w:p>
      <w:r>
        <w:t>(te4) [testbox, minimum width=1.5cm] at (12.0, 0.4) OOS 2023;</w:t>
      </w:r>
    </w:p>
    <w:p>
      <w:r>
        <w:t>at (-1.2, -0.3) [font=] Fold 5:;</w:t>
      </w:r>
    </w:p>
    <w:p>
      <w:r>
        <w:t>(tr5) [trainbox, minimum width=12.0cm] at (5.25, -0.3) In-Sample Train (2015--2022);</w:t>
      </w:r>
    </w:p>
    <w:p>
      <w:r>
        <w:t>(va5) [valbox, minimum width=1.5cm] at (12.0, -0.3) Val (2023);</w:t>
      </w:r>
    </w:p>
    <w:p>
      <w:r>
        <w:t>(te5) [testbox, minimum width=1.5cm] at (13.5, -0.3) OOS 2024;</w:t>
      </w:r>
    </w:p>
    <w:p>
      <w:r>
        <w:t>5-Fold Expanding-Window Walk-Forward Validation Protocol (2015--2024)</w:t>
      </w:r>
    </w:p>
    <w:p>
      <w:r>
        <w:t>Each fold expands the in-sample training window by one calendar year while maintaining an isolated 1-year validation block for hyperparameter selection and early stopping, followed by a 1-year testing window:</w:t>
      </w:r>
    </w:p>
    <w:p>
      <w:r>
        <w:t>Fold 1: In-Sample Train (2015--2018), Validation (2019), Out-of-Sample Test (2020).</w:t>
      </w:r>
    </w:p>
    <w:p>
      <w:r>
        <w:t>Fold 2: In-Sample Train (2015--2019), Validation (2020), Out-of-Sample Test (2021).</w:t>
      </w:r>
    </w:p>
    <w:p>
      <w:r>
        <w:t>Fold 3: In-Sample Train (2015--2020), Validation (2021), Out-of-Sample Test (2022).</w:t>
      </w:r>
    </w:p>
    <w:p>
      <w:r>
        <w:t>Fold 4: In-Sample Train (2015--2021), Validation (2022), Out-of-Sample Test (2023).</w:t>
      </w:r>
    </w:p>
    <w:p>
      <w:r>
        <w:t>Fold 5: In-Sample Train (2015--2022), Validation (2023), Out-of-Sample Test (2024).</w:t>
      </w:r>
    </w:p>
    <w:p>
      <w:r>
        <w:t>Combining out-of-sample predictions across test blocks yields a continuous 5-year out-of-sample evaluation period (2020--2024) without lookahead leakage.</w:t>
      </w:r>
    </w:p>
    <w:p>
      <w:pPr>
        <w:spacing w:before="200" w:after="80"/>
        <w:ind w:firstLine="0"/>
      </w:pPr>
      <w:r>
        <w:rPr>
          <w:rFonts w:ascii="Times New Roman" w:hAnsi="Times New Roman"/>
          <w:b/>
          <w:color w:val="0A2240"/>
          <w:sz w:val="28"/>
        </w:rPr>
        <w:t>Hyperparameter Search Space \&amp; Training Setup</w:t>
      </w:r>
    </w:p>
    <w:p>
      <w:r>
        <w:t>Table tab:ch3_hyperparameter_grid summarizes the hyperparameter search spaces and optimal tuned configurations across the model lineup.</w:t>
      </w:r>
    </w:p>
    <w:p>
      <w:r>
        <w:t>Hyperparameter Search Space and Optimal Tuned Parameters Across Models</w:t>
      </w:r>
    </w:p>
    <w:p>
      <w:r>
        <w:t>Model Architecture &amp; Hyperparameter &amp; Search Space / Range &amp; Optimal Parameter Value \\</w:t>
      </w:r>
    </w:p>
    <w:p>
      <w:r>
        <w:t>2*LASSO / ElasticNet &amp; Penalty Intensity () &amp; [10^-5, 10^-1] (log scale) &amp;  = 1.42  10^-3 \\</w:t>
      </w:r>
    </w:p>
    <w:p>
      <w:r>
        <w:t>&amp; ElasticNet Ratio () &amp; [0.0, 1.0] &amp;  = 0.50 (Balanced L_1/L_2) \\</w:t>
      </w:r>
    </w:p>
    <w:p>
      <w:r>
        <w:t>4*Random Forest &amp; Number of Trees (M) &amp; [100, 1000] &amp; M = 500 trees \\</w:t>
      </w:r>
    </w:p>
    <w:p>
      <w:r>
        <w:t>&amp; Max Tree Depth &amp; [3, 15] &amp; Depth = 8 \\</w:t>
      </w:r>
    </w:p>
    <w:p>
      <w:r>
        <w:t>&amp; Feature Subsample Ratio &amp; [0.2, 0.8] &amp; Ratio = 0.40 (Square-root rule) \\</w:t>
      </w:r>
    </w:p>
    <w:p>
      <w:r>
        <w:t>&amp; Min Samples Leaf &amp; [10, 200] &amp; Min Leaf = 50 \\</w:t>
      </w:r>
    </w:p>
    <w:p>
      <w:r>
        <w:t>5*XGBoost &amp; Max Depth &amp; [3, 10] &amp; Depth = 6 \\</w:t>
      </w:r>
    </w:p>
    <w:p>
      <w:r>
        <w:t>&amp; Learning Rate () &amp; [0.005, 0.10] &amp;  = 0.015 \\</w:t>
      </w:r>
    </w:p>
    <w:p>
      <w:r>
        <w:t>&amp; Colsample Bytree &amp; [0.3, 0.9] &amp; Subsample = 0.50 \\</w:t>
      </w:r>
    </w:p>
    <w:p>
      <w:r>
        <w:t>&amp; Reg Alpha (L_1) / Lambda (L_2) &amp; [0.0, 10.0] &amp;  = 1.0,  = 5.0 \\</w:t>
      </w:r>
    </w:p>
    <w:p>
      <w:r>
        <w:t>&amp; Early Stopping Rounds &amp; [20, 100] &amp; 50 rounds (Validation AUC) \\</w:t>
      </w:r>
    </w:p>
    <w:p>
      <w:r>
        <w:t>4*PyTorch LSTM &amp; Hidden Layer Units (D) &amp; [32, 256] &amp; D = 128 hidden units \\</w:t>
      </w:r>
    </w:p>
    <w:p>
      <w:r>
        <w:t>&amp; Sequence Lookback (T) &amp; [5, 60] trading days &amp; T = 20 days (1 month) \\</w:t>
      </w:r>
    </w:p>
    <w:p>
      <w:r>
        <w:t>&amp; Dropout Rate &amp; [0.1, 0.5] &amp; Dropout = 0.20 \\</w:t>
      </w:r>
    </w:p>
    <w:p>
      <w:r>
        <w:t>&amp; Optimizer \&amp; LR &amp; AdamW, [10^-4, 10^-2] &amp; LR = 5.0  10^-4, Weight Decay = 10^-4 \\</w:t>
      </w:r>
    </w:p>
    <w:p>
      <w:r>
        <w:t>6*Custom TFDMGA &amp; Hidden Dimension (D) &amp; [32, 128] &amp; D = 64 channels \\</w:t>
      </w:r>
    </w:p>
    <w:p>
      <w:r>
        <w:t>&amp; TCN Kernel Size \&amp; Dilation &amp; K  [3, 5], d  [1, 2, 4] &amp; K = 3, d  \1, 2, 4\ \\</w:t>
      </w:r>
    </w:p>
    <w:p>
      <w:r>
        <w:t>&amp; Ring Attention Heads &amp; [2, 8] heads &amp; 4 Attention Heads \\</w:t>
      </w:r>
    </w:p>
    <w:p>
      <w:r>
        <w:t>&amp; Dynamic Gate Temp () &amp; [0.1, 2.0] &amp;  = 0.50 (Temperature scaling) \\</w:t>
      </w:r>
    </w:p>
    <w:p>
      <w:r>
        <w:t>&amp; Loss Weights (_rank, _IC) &amp; [0.1, 2.0] &amp; _rank = 0.50, _IC = 1.0 \\</w:t>
      </w:r>
    </w:p>
    <w:p>
      <w:r>
        <w:t>&amp; Training Batch Size &amp; [128, 1024] &amp; Batch Size = 512 (AMP bfloat16) \\</w:t>
      </w:r>
    </w:p>
    <w:p>
      <w:r>
        <w:t>Deep learning models (PyTorch LSTM and TFDMGA) are trained using the AdamW optimizer (loshchilov2018decoupled) with Cosine Annealing learning rate scheduling, Automatic Mixed Precision (bfloat16), batch size 512, and validation early stopping with 15 epochs patience.</w:t>
      </w:r>
    </w:p>
    <w:p>
      <w:pPr>
        <w:spacing w:before="200" w:after="80"/>
        <w:ind w:firstLine="0"/>
      </w:pPr>
      <w:r>
        <w:rPr>
          <w:rFonts w:ascii="Times New Roman" w:hAnsi="Times New Roman"/>
          <w:b/>
          <w:color w:val="0A2240"/>
          <w:sz w:val="28"/>
        </w:rPr>
        <w:t>Computational Complexity and Resource Profile</w:t>
      </w:r>
    </w:p>
    <w:p>
      <w:r>
        <w:t>To assess the computational requirements of training and deploying the TFDMGA architecture, Table tab:ch3_resource_profile documents the model parameter count, FLOPs, memory footprint, and training runtime across hardware configurations.</w:t>
      </w:r>
    </w:p>
    <w:p>
      <w:r>
        <w:t>Computational Complexity, Parameter Count, and Resource Execution Profile</w:t>
      </w:r>
    </w:p>
    <w:p>
      <w:r>
        <w:t>0.9!%</w:t>
      </w:r>
    </w:p>
    <w:p>
      <w:r>
        <w:t>Computational Metric / Resource Dimension &amp; Quantitative Profile / Benchmark Value \\</w:t>
      </w:r>
    </w:p>
    <w:p>
      <w:r>
        <w:t>Target Hardware Configuration &amp; NVIDIA RTX 4090 GPU (24 GB VRAM), 32-Core CPU, 128 GB RAM \\</w:t>
      </w:r>
    </w:p>
    <w:p>
      <w:r>
        <w:t>Total Trainable Parameter Count &amp; 1,248,515 parameters ( 1.25 Million parameters) \\</w:t>
      </w:r>
    </w:p>
    <w:p>
      <w:r>
        <w:t>Floating Point Operations (FLOPs) &amp; 4.82  10^8 FLOPs per forward pass (Batch size = 512) \\</w:t>
      </w:r>
    </w:p>
    <w:p>
      <w:r>
        <w:t>GPU VRAM Memory Peak Footprint &amp; 4.12 GB (AMP bfloat16 mixed precision training) \\</w:t>
      </w:r>
    </w:p>
    <w:p>
      <w:r>
        <w:t>Training Runtime Per Walk-Forward Fold &amp; 14.2 minutes (50 epochs with validation early stopping) \\</w:t>
      </w:r>
    </w:p>
    <w:p>
      <w:r>
        <w:t>Total 5-Fold Walk-Forward Training Time &amp; 71.0 minutes ( 1.18 hours) \\</w:t>
      </w:r>
    </w:p>
    <w:p>
      <w:r>
        <w:t>Inference Latency (Daily Cross-Section) &amp; 4.2 milliseconds per daily panel (N = 500 stocks) \\</w:t>
      </w:r>
    </w:p>
    <w:p>
      <w:r>
        <w:t>The model maintains a compact parameter footprint (1.25M parameters), enabling fast daily inference (4.2 ms) and reasonable hardware requirements for practical deployment.</w:t>
      </w:r>
    </w:p>
    <w:p>
      <w:r>
        <w:br w:type="page"/>
      </w:r>
    </w:p>
    <w:p>
      <w:pPr>
        <w:spacing w:before="240" w:after="120"/>
        <w:ind w:firstLine="0"/>
      </w:pPr>
      <w:r>
        <w:rPr>
          <w:rFonts w:ascii="Times New Roman" w:hAnsi="Times New Roman"/>
          <w:b/>
          <w:color w:val="0A2240"/>
          <w:sz w:val="28"/>
        </w:rPr>
        <w:t>Empirical Results &amp; Backtesting</w:t>
      </w:r>
    </w:p>
    <w:p>
      <w:pPr>
        <w:spacing w:before="200" w:after="80"/>
        <w:ind w:firstLine="0"/>
      </w:pPr>
      <w:r>
        <w:rPr>
          <w:rFonts w:ascii="Times New Roman" w:hAnsi="Times New Roman"/>
          <w:b/>
          <w:color w:val="0A2240"/>
          <w:sz w:val="28"/>
        </w:rPr>
        <w:t>Introduction</w:t>
      </w:r>
    </w:p>
    <w:p>
      <w:r>
        <w:t>Before evaluating non-linear machine learning architectures, I examine baseline linear factor regressions and investigate feature interpretability in this chapter. I analyze the Fama-MacBeth 2-pass OLS estimates (fama1973risk, newey1987simple), present a mathematical derivation of LASSO coefficient shrinkage under noise ( = 0, Var(y)=0, IC = NaN) (tibshirani1996regression, kozak2020shrinking), and use SHAP (SHapley Additive exPlanations) values to interpret feature importance across market regimes (lundberg2017unified, gu2020empirical).</w:t>
      </w:r>
    </w:p>
    <w:p>
      <w:pPr>
        <w:spacing w:before="200" w:after="80"/>
        <w:ind w:firstLine="0"/>
      </w:pPr>
      <w:r>
        <w:rPr>
          <w:rFonts w:ascii="Times New Roman" w:hAnsi="Times New Roman"/>
          <w:b/>
          <w:color w:val="0A2240"/>
          <w:sz w:val="28"/>
        </w:rPr>
        <w:t>Contemporaneous Fama-MacBeth OLS Baseline</w:t>
      </w:r>
    </w:p>
    <w:p>
      <w:r>
        <w:t>Table tab:ch4_fama_macbeth presents the daily cross-sectional Fama-MacBeth regression parameter estimates (fama1973risk), Newey-West HAC standard errors (L = 8 lags) (newey1987simple), and corresponding t-statistics with Shanken corrections (shanken1992on) over the 2015--2024 period.</w:t>
      </w:r>
    </w:p>
    <w:p>
      <w:r>
        <w:t>Fama-MacBeth Daily Cross-Sectional Regression Risk Premia (2015--2024)</w:t>
      </w:r>
    </w:p>
    <w:p>
      <w:r>
        <w:t>0.85!%</w:t>
      </w:r>
    </w:p>
    <w:p>
      <w:r>
        <w:t>Factor / Beta Regressor &amp; Average Risk Premium (_k) &amp; Newey-West SE &amp; t-statistic &amp; p-value \\</w:t>
      </w:r>
    </w:p>
    <w:p>
      <w:r>
        <w:t>Intercept (_0) &amp; +0.00010 &amp; 0.00006 &amp; +1.654 &amp; 0.098 \\</w:t>
      </w:r>
    </w:p>
    <w:p>
      <w:r>
        <w:t>Market Beta (_Mkt-RF) &amp; +0.00008 &amp; 0.00007 &amp; +1.142 &amp; 0.254 \\</w:t>
      </w:r>
    </w:p>
    <w:p>
      <w:r>
        <w:t>Size Beta (_SMB) &amp; -0.00004 &amp; 0.00005 &amp; -0.800 &amp; 0.424 \\</w:t>
      </w:r>
    </w:p>
    <w:p>
      <w:r>
        <w:t>Value Beta (_HML) &amp; -0.00009 &amp; 0.00006 &amp; -1.500 &amp; 0.134 \\</w:t>
      </w:r>
    </w:p>
    <w:p>
      <w:r>
        <w:t>Profitability Beta (_RMW) &amp; +0.00011 &amp; 0.00006 &amp; +1.833 &amp; 0.067 \\</w:t>
      </w:r>
    </w:p>
    <w:p>
      <w:r>
        <w:t>Investment Beta (_CMA) &amp; +0.00003 &amp; 0.00005 &amp; +0.600 &amp; 0.549 \\</w:t>
      </w:r>
    </w:p>
    <w:p>
      <w:r>
        <w:t>Momentum Beta (_MOM) &amp; +0.00007 &amp; 0.00006 &amp; +1.167 &amp; 0.243 \\</w:t>
      </w:r>
    </w:p>
    <w:p>
      <w:r>
        <w:t>The empirical results show that linear factor risk premia at daily frequencies are statistically indistinguishable from zero (p &gt; 0.05). Individual daily stock returns are dominated by idiosyncratic noise ( 95\% of daily variance) (fama1993common, fama2015five), indicating that static linear factor models have limited explanatory power for daily returns and highlighting the motivation for non-linear machine learning models (gu2020empirical, chen2023deep).</w:t>
      </w:r>
    </w:p>
    <w:p>
      <w:pPr>
        <w:spacing w:before="200" w:after="80"/>
        <w:ind w:firstLine="0"/>
      </w:pPr>
      <w:r>
        <w:rPr>
          <w:rFonts w:ascii="Times New Roman" w:hAnsi="Times New Roman"/>
          <w:b/>
          <w:color w:val="0A2240"/>
          <w:sz w:val="28"/>
        </w:rPr>
        <w:t>Mathematical Derivation of LASSO Shrinkage Collapse</w:t>
      </w:r>
    </w:p>
    <w:p>
      <w:r>
        <w:t>Under daily return noise and cross-sectional MSE loss, regularized LASSO regressions can shrink all coefficients to zero (tibshirani1996regression, kozak2020shrinking). Consider the cross-sectional LASSO objective function on trading day t:</w:t>
      </w:r>
    </w:p>
    <w:p>
      <w:r>
        <w:t>__t 12N_t _i=1^N_t ( y_i,t+1 - _0 - _t^T x_i,t )^2 +  \|_t\|_1</w:t>
      </w:r>
    </w:p>
    <w:p>
      <w:r>
        <w:t>When the cross-sectional covariance between normalized predictors x_i,t and forward returns y_i,t+1 is smaller than the regularization threshold :</w:t>
      </w:r>
    </w:p>
    <w:p>
      <w:r>
        <w:t>| 1N_t _i=1^N_t x_i,t,j y_i,t+1 |     j  \1, , K\</w:t>
      </w:r>
    </w:p>
    <w:p>
      <w:r>
        <w:t>The subgradient optimality condition dictates that the global minimum occurs at:</w:t>
      </w:r>
    </w:p>
    <w:p>
      <w:r>
        <w:t>_t = 0  y_i,t+1 = y_t+1   i  S_t</w:t>
      </w:r>
    </w:p>
    <w:p>
      <w:r>
        <w:t>When predictions collapse to a constant mean (y_i,t+1 = y_t+1), cross-sectional prediction variance becomes zero (Var(y_t+1) = 0). Consequently, the daily Spearman rank Information Coefficient denominator evaluates to zero:</w:t>
      </w:r>
    </w:p>
    <w:p>
      <w:r>
        <w:t>IC_t+1 = Cov(Rank(y), Rank(y))Var(Rank(y))  Var(Rank(y)) = 00  IC = NaN</w:t>
      </w:r>
    </w:p>
    <w:p>
      <w:r>
        <w:t>This derivation shows why LASSO regression under MSE loss shrinks to zero under high return noise, whereas ElasticNet (L_1+L_2) helps preserve non-zero variance (Var(y) &gt; 0) (zou2005regularization).</w:t>
      </w:r>
    </w:p>
    <w:p>
      <w:pPr>
        <w:spacing w:before="200" w:after="80"/>
        <w:ind w:firstLine="0"/>
      </w:pPr>
      <w:r>
        <w:rPr>
          <w:rFonts w:ascii="Times New Roman" w:hAnsi="Times New Roman"/>
          <w:b/>
          <w:color w:val="0A2240"/>
          <w:sz w:val="28"/>
        </w:rPr>
        <w:t>SHAP Feature Interpretability Analysis</w:t>
      </w:r>
    </w:p>
    <w:p>
      <w:r>
        <w:t>To understand which feature modalities influence non-linear predictions, I calculate SHAP (SHapley Additive exPlanations) values for the top-performing models (lundberg2017unified).</w:t>
      </w:r>
    </w:p>
    <w:p>
      <w:r>
        <w:t>Figure fig:ch4_shap_bar presents the global SHAP mean absolute feature importances, while Figure fig:ch4_shap_summary displays the SHAP summary plot illustrating directional feature impacts.</w:t>
      </w:r>
    </w:p>
    <w:p>
      <w:r>
        <w:t>[width=0.85]figures/shap_bar_plot_21d_feattech_fund.png</w:t>
      </w:r>
    </w:p>
    <w:p>
      <w:r>
        <w:t>Global SHAP Mean Absolute Feature Importance Rankings (21-Day Horizon)</w:t>
      </w:r>
    </w:p>
    <w:p>
      <w:r>
        <w:t>[width=0.85]figures/shap_summary_plot_21d_feattech_fund.png</w:t>
      </w:r>
    </w:p>
    <w:p>
      <w:r>
        <w:t>SHAP Summary Beeswarm Plot Illustrating Feature Value Impact on Model Predictions</w:t>
      </w:r>
    </w:p>
    <w:p>
      <w:r>
        <w:t>My SHAP analysis indicates that short-term price momentum (mom\_21d\_rank) and relative strength (rsi\_14d\_rank) drive high-frequency predictive directionality (jegadeesh1993returns, carhart1997on), while quarterly fundamental operating quality (quality\_proxy\_rank) and valuation metrics (value\_proxy\_rank) provide structural drawdown defense during market contractions (novy2013other, fama2015five).</w:t>
      </w:r>
    </w:p>
    <w:p>
      <w:pPr>
        <w:spacing w:before="200" w:after="80"/>
        <w:ind w:firstLine="0"/>
      </w:pPr>
      <w:r>
        <w:rPr>
          <w:rFonts w:ascii="Times New Roman" w:hAnsi="Times New Roman"/>
          <w:b/>
          <w:color w:val="0A2240"/>
          <w:sz w:val="28"/>
        </w:rPr>
        <w:t>Out-of-Sample Predictive Evaluation</w:t>
      </w:r>
    </w:p>
    <w:p>
      <w:r>
        <w:t>Table tab:ch4_predictive_metrics presents out-of-sample performance metrics across the model lineup on the 21-day holding horizon across the 5 expanding-window walk-forward test folds (2020--2024).</w:t>
      </w:r>
    </w:p>
    <w:p>
      <w:r>
        <w:t>Out-of-Sample Predictive Performance Metrics (2020--2024 Test Folds)</w:t>
      </w:r>
    </w:p>
    <w:p>
      <w:r>
        <w:t>Model Architecture &amp; Feature Space &amp; Accuracy &amp; ROC AUC &amp; Daily IC &amp; ICIR (t-stat) \\</w:t>
      </w:r>
    </w:p>
    <w:p>
      <w:r>
        <w:t>LASSO (Logistic L1) &amp; Technical (16) &amp; 54.18\% &amp; 0.5213 &amp; +0.0246 &amp; 2.67 \\</w:t>
      </w:r>
    </w:p>
    <w:p>
      <w:r>
        <w:t>Elastic Net (L1+L2) &amp; Technical (16) &amp; 54.04\% &amp; 0.5206 &amp; +0.0237 &amp; 2.51 \\</w:t>
      </w:r>
    </w:p>
    <w:p>
      <w:r>
        <w:t>Random Forest &amp; Technical (16) &amp; 54.66\% &amp; 0.5305 &amp; +0.0218 &amp; 1.83 \\</w:t>
      </w:r>
    </w:p>
    <w:p>
      <w:r>
        <w:t>XGBoost &amp; Technical (16) &amp; 53.69\% &amp; 0.5223 &amp; +0.0169 &amp; 1.48 \\</w:t>
      </w:r>
    </w:p>
    <w:p>
      <w:r>
        <w:t>Random Forest &amp; Tech+Fund (46) &amp; 54.76\% &amp; 0.5415 &amp; +0.0332 &amp; 3.00 \\</w:t>
      </w:r>
    </w:p>
    <w:p>
      <w:r>
        <w:t>XGBoost &amp; Tech+Fund (46) &amp; 54.37\% &amp; 0.5373 &amp; +0.0247 &amp; 3.02 \\</w:t>
      </w:r>
    </w:p>
    <w:p>
      <w:r>
        <w:t>PyTorch LSTM &amp; Tech+Fund (46) &amp; 56.12\% &amp; 0.6057 &amp; +0.0298 &amp; 2.85 \\</w:t>
      </w:r>
    </w:p>
    <w:p>
      <w:r>
        <w:t>TFDMGA (Custom) &amp; Master Panel (53) &amp; 56.84\% &amp; 0.6120 &amp; +0.0348 &amp; 3.12 \\</w:t>
      </w:r>
    </w:p>
    <w:p>
      <w:r>
        <w:t>Deep sequence architectures (LSTM and TFDMGA) achieve higher out-of-sample predictive accuracy than linear and tree models (gu2020empirical, chen2023deep). The TFDMGA network achieves the highest predictive accuracy (IC = +0.0348, ICIR = 3.12, ROC AUC = 0.6120, Accuracy = 56.84\%). A formal (diebold1995comparing) test with (harvey1997testing) small-sample adjustment confirms that TFDMGA statistically significantly outperforms standard LSTM models (DM = 2.41, p = 0.016).</w:t>
      </w:r>
    </w:p>
    <w:p>
      <w:pPr>
        <w:spacing w:before="200" w:after="80"/>
        <w:ind w:firstLine="0"/>
      </w:pPr>
      <w:r>
        <w:rPr>
          <w:rFonts w:ascii="Times New Roman" w:hAnsi="Times New Roman"/>
          <w:b/>
          <w:color w:val="0A2240"/>
          <w:sz w:val="28"/>
        </w:rPr>
        <w:t>Ablation Study of Neural Architecture Components</w:t>
      </w:r>
    </w:p>
    <w:p>
      <w:r>
        <w:t>To isolate the incremental contribution of each component within the TFDMGA architecture, I conduct a systematic ablation study. Table tab:ch4_ablation_study reports the out-of-sample predictive metrics across model variants evaluated on the 21-day holding horizon.</w:t>
      </w:r>
    </w:p>
    <w:p>
      <w:r>
        <w:t>Systematic Component Ablation Study of the TFDMGA Network</w:t>
      </w:r>
    </w:p>
    <w:p>
      <w:r>
        <w:t>Model Architecture Variant &amp; Daily IC &amp; ICIR (t-stat) &amp; Accuracy &amp; ROC AUC &amp; Incremental IC Loss \\</w:t>
      </w:r>
    </w:p>
    <w:p>
      <w:r>
        <w:t>Full TFDMGA (Complete Model) &amp; +0.0348 &amp; 3.12 &amp; 56.84\% &amp; 0.6120 &amp; --- \\</w:t>
      </w:r>
    </w:p>
    <w:p>
      <w:r>
        <w:t>- Macro Dynamic Gating (Static Uniform Weights) &amp; +0.0312 &amp; 2.91 &amp; 55.90\% &amp; 0.5980 &amp; -0.0036 \\</w:t>
      </w:r>
    </w:p>
    <w:p>
      <w:r>
        <w:t>- Ring Attention (Naive Concatenation) &amp; +0.0305 &amp; 2.86 &amp; 55.45\% &amp; 0.5910 &amp; -0.0043 \\</w:t>
      </w:r>
    </w:p>
    <w:p>
      <w:r>
        <w:t>- Causal TCN Encoders (Linear Projections) &amp; +0.0291 &amp; 2.70 &amp; 54.80\% &amp; 0.5820 &amp; -0.0057 \\</w:t>
      </w:r>
    </w:p>
    <w:p>
      <w:r>
        <w:t>- Residual Transformer Stack (Feed-Forward Only) &amp; +0.0284 &amp; 2.62 &amp; 54.40\% &amp; 0.5750 &amp; -0.0064 \\</w:t>
      </w:r>
    </w:p>
    <w:p>
      <w:r>
        <w:t>- Sentiment Modality (Tech + Fund + Macro Only) &amp; +0.0332 &amp; 3.00 &amp; 56.40\% &amp; 0.6050 &amp; -0.0016 \\</w:t>
      </w:r>
    </w:p>
    <w:p>
      <w:r>
        <w:t>The ablation results indicate that each component contributes to performance:</w:t>
      </w:r>
    </w:p>
    <w:p>
      <w:r>
        <w:t>Causal TCN Encoders: Removing TCN encoders (bai2018empirical) causes the largest single drop in IC (-0.0057), indicating the benefit of temporal feature extraction over raw sequences.</w:t>
      </w:r>
    </w:p>
    <w:p>
      <w:r>
        <w:t>Ring Attention Cascade: Replacing Ring Attention (vaswani2017attention) with vector concatenation reduces IC by -0.0043, suggesting that cross-modal domain hierarchy prevents a single modality from dominating.</w:t>
      </w:r>
    </w:p>
    <w:p>
      <w:r>
        <w:t>Macro Dynamic Gating: Disabling dynamic macro gating (lim2021temporal) reduces IC by -0.0036, highlighting the role of adaptive regime weighting.</w:t>
      </w:r>
    </w:p>
    <w:p>
      <w:pPr>
        <w:spacing w:before="200" w:after="80"/>
        <w:ind w:firstLine="0"/>
      </w:pPr>
      <w:r>
        <w:rPr>
          <w:rFonts w:ascii="Times New Roman" w:hAnsi="Times New Roman"/>
          <w:b/>
          <w:color w:val="0A2240"/>
          <w:sz w:val="28"/>
        </w:rPr>
        <w:t>Robustness Checks and Sensitivity Analysis</w:t>
      </w:r>
    </w:p>
    <w:p>
      <w:r>
        <w:t>To evaluate signal stability, Table tab:ch4_horizon_sensitivity presents performance across alternative prediction horizons, rebalance frequencies, and transaction cost friction grids (novy2016taxonomy, avramov2023machine).</w:t>
      </w:r>
    </w:p>
    <w:p>
      <w:r>
        <w:t>Predictive Accuracy and Account Compounding Across Prediction Horizons and Fees</w:t>
      </w:r>
    </w:p>
    <w:p>
      <w:r>
        <w:t>Prediction Horizon / Setting &amp; Daily IC &amp; ICIR &amp; Accuracy &amp; 0 bps Net &amp; 10 bps Net &amp; 30 bps Net \\</w:t>
      </w:r>
    </w:p>
    <w:p>
      <w:r>
        <w:t>1-Day Forward Return (y_1d) &amp; +0.0215 &amp; 1.95 &amp; 54.20\% &amp; \3,840.10 &amp; \3,120.40 &amp; \2,150.10 \\</w:t>
      </w:r>
    </w:p>
    <w:p>
      <w:r>
        <w:t>5-Day Forward Return (y_5d) &amp; +0.0289 &amp; 2.64 &amp; 55.40\% &amp; \5,210.30 &amp; \4,850.20 &amp; \4,110.50 \\</w:t>
      </w:r>
    </w:p>
    <w:p>
      <w:r>
        <w:t>21-Day Forward Return (y_21d Benchmark) &amp; +0.0348 &amp; 3.12 &amp; 56.84\% &amp; \6,864.20 &amp; \6,482.10 &amp; \5,765.20 \\</w:t>
      </w:r>
    </w:p>
    <w:p>
      <w:r>
        <w:t>126-Day Forward Return (y_126d) &amp; +0.0412 &amp; 3.45 &amp; 58.10\% &amp; \7,420.50 &amp; \7,180.20 &amp; \6,840.10 \\</w:t>
      </w:r>
    </w:p>
    <w:p>
      <w:pPr>
        <w:spacing w:before="200" w:after="80"/>
        <w:ind w:firstLine="0"/>
      </w:pPr>
      <w:r>
        <w:rPr>
          <w:rFonts w:ascii="Times New Roman" w:hAnsi="Times New Roman"/>
          <w:b/>
          <w:color w:val="0A2240"/>
          <w:sz w:val="28"/>
        </w:rPr>
        <w:t>Portfolio Construction \&amp; Execution Friction</w:t>
      </w:r>
    </w:p>
    <w:p>
      <w:r>
        <w:t>Figure fig:ch4_portfolio_flowchart shows the decile portfolio sorting, 1-day execution buffer delay, and weight drift turnover rebalancing framework (lopez2018advances, novy2016taxonomy).</w:t>
      </w:r>
    </w:p>
    <w:p>
      <w:r>
        <w:t>scale=0.85, transform shape,</w:t>
      </w:r>
    </w:p>
    <w:p>
      <w:r>
        <w:t>box/.style=draw=jpmNavy, fill=jpmLight, rectangle, rounded corners=5pt, align=center, inner sep=8pt, font=, text=jpmNavy, minimum width=3.5cm, minimum height=1.0cm,</w:t>
      </w:r>
    </w:p>
    <w:p>
      <w:r>
        <w:t>arrow/.style=-Stealth, thick, draw=jpmNavy</w:t>
      </w:r>
    </w:p>
    <w:p>
      <w:r>
        <w:t>(pred) [box] Out-of-Sample Predictions y_i,t\ at Close of Day t;</w:t>
      </w:r>
    </w:p>
    <w:p>
      <w:r>
        <w:t>(sort) [box, right=1.0cm of pred] Decile Rank Sorting\ Top Decile Q_5 (90th Percentile);</w:t>
      </w:r>
    </w:p>
    <w:p>
      <w:r>
        <w:t>(buffer) [box, right=1.0cm of sort] 1-Day Execution Buffer\ Orders at Open of Day t+1;</w:t>
      </w:r>
    </w:p>
    <w:p>
      <w:r>
        <w:t>(rebal) [box, right=1.0cm of buffer] Net Daily Return Calculation\ c  Turnover_t (10 bps);</w:t>
      </w:r>
    </w:p>
    <w:p>
      <w:r>
        <w:t>[arrow] (pred) -- (sort);</w:t>
      </w:r>
    </w:p>
    <w:p>
      <w:r>
        <w:t>[arrow] (sort) -- (buffer);</w:t>
      </w:r>
    </w:p>
    <w:p>
      <w:r>
        <w:t>[arrow] (buffer) -- (rebal);</w:t>
      </w:r>
    </w:p>
    <w:p>
      <w:r>
        <w:t>Decile Portfolio Sorting, 1-Day Execution Delay, and Turnover Rebalancing Flowchart</w:t>
      </w:r>
    </w:p>
    <w:p>
      <w:pPr>
        <w:spacing w:before="200" w:after="80"/>
        <w:ind w:firstLine="0"/>
      </w:pPr>
      <w:r>
        <w:rPr>
          <w:rFonts w:ascii="Times New Roman" w:hAnsi="Times New Roman"/>
          <w:b/>
          <w:color w:val="0A2240"/>
          <w:sz w:val="28"/>
        </w:rPr>
        <w:t>Transaction Cost Sensitivity \&amp; \1,000 USD Account Compounding</w:t>
      </w:r>
    </w:p>
    <w:p>
      <w:r>
        <w:t>Table tab:ch4_account_growth documents the cumulative compounding trajectory of an initial \1,000 USD deposit (January 1, 2020 to December 31, 2024) across models and fee levels (novy2016taxonomy, frazzini2014betting).</w:t>
      </w:r>
    </w:p>
    <w:p>
      <w:r>
        <w:t>\1,000 USD Account Growth Under Transaction Cost Scenarios (2020--2024)</w:t>
      </w:r>
    </w:p>
    <w:p>
      <w:r>
        <w:t>Strategy / Model Architecture &amp; 0 bps (Gross) &amp; 5 bps (Low Fee) &amp; 10 bps (NET Standard) &amp; 20 bps (High Fee) \\</w:t>
      </w:r>
    </w:p>
    <w:p>
      <w:r>
        <w:t>S\&amp;P 500 Buy \&amp; Hold Benchmark &amp; \2,060.43 &amp; \2,060.43 &amp; \2,060.43 &amp; \2,060.43 \\</w:t>
      </w:r>
    </w:p>
    <w:p>
      <w:r>
        <w:t>LASSO Long-Only (Q_5) &amp; \2,114.09 &amp; \2,054.10 &amp; \1,995.56 &amp; \1,883.66 \\</w:t>
      </w:r>
    </w:p>
    <w:p>
      <w:r>
        <w:t>XGBoost Long-Only (Q_5) &amp; \2,548.32 &amp; \2,475.87 &amp; \2,405.46 &amp; \2,270.60 \\</w:t>
      </w:r>
    </w:p>
    <w:p>
      <w:r>
        <w:t>Random Forest Long-Only (Q_5) &amp; \2,577.26 &amp; \2,503.95 &amp; \2,432.77 &amp; \2,296.38 \\</w:t>
      </w:r>
    </w:p>
    <w:p>
      <w:r>
        <w:t>PyTorch LSTM Long-Only (Q_5) &amp; \3,306.31 &amp; \3,212.31 &amp; \3,120.99 &amp; \2,946.05 \\</w:t>
      </w:r>
    </w:p>
    <w:p>
      <w:r>
        <w:t>LSTM + 2:1 TPSL Risk Overlay &amp; \4,625.10 &amp; \4,494.30 &amp; \4,368.50 &amp; \4,123.80 \\</w:t>
      </w:r>
    </w:p>
    <w:p>
      <w:r>
        <w:t>TFDMGA + 2:1 TPSL Risk Overlay &amp; \6,864.20 &amp; \6,670.10 &amp; \6,482.10 &amp; \6,118.40 \\</w:t>
      </w:r>
    </w:p>
    <w:p>
      <w:r>
        <w:t>Figure fig:ch4_cum_ret plots out-of-sample cumulative returns, Figure fig:ch4_sharpe displays rolling Sharpe ratios, and Figures fig:ch4_tpsl and fig:ch4_drawdown illustrate stop-loss drawdown mitigation curves.</w:t>
      </w:r>
    </w:p>
    <w:p>
      <w:r>
        <w:t>[width=0.85]figures/equity_curves_comparison_21d.png</w:t>
      </w:r>
    </w:p>
    <w:p>
      <w:r>
        <w:t>Out-of-Sample Cumulative Return Trajectories (Net 10 bps, 2020--2024 Folds)</w:t>
      </w:r>
    </w:p>
    <w:p>
      <w:r>
        <w:t>[width=0.85]figures/rolling_sharpe_21d_feattech_fund.png</w:t>
      </w:r>
    </w:p>
    <w:p>
      <w:r>
        <w:t>Rolling 126-Day Annualized Sharpe Ratios across Model Architectures</w:t>
      </w:r>
    </w:p>
    <w:p>
      <w:r>
        <w:t>[width=0.85]figures/stop_loss_impact_curves.png</w:t>
      </w:r>
    </w:p>
    <w:p>
      <w:r>
        <w:t>Impact of 2:1 Take-Profit/Stop-Loss Risk Overlay (+4\% / -2\%) on Portfolio Returns</w:t>
      </w:r>
    </w:p>
    <w:p>
      <w:r>
        <w:t>[width=0.85]figures/stress_drawdown_mitigation.png</w:t>
      </w:r>
    </w:p>
    <w:p>
      <w:r>
        <w:t>Maximum Drawdown Mitigation During Macro Stress Periods (COVID 2020 \&amp; Fed Hikes 2022)</w:t>
      </w:r>
    </w:p>
    <w:p>
      <w:pPr>
        <w:spacing w:before="200" w:after="80"/>
        <w:ind w:firstLine="0"/>
      </w:pPr>
      <w:r>
        <w:rPr>
          <w:rFonts w:ascii="Times New Roman" w:hAnsi="Times New Roman"/>
          <w:b/>
          <w:color w:val="0A2240"/>
          <w:sz w:val="28"/>
        </w:rPr>
        <w:t>Fama-French 5-Factor Spanning Regressions</w:t>
      </w:r>
    </w:p>
    <w:p>
      <w:r>
        <w:t>Table tab:ch4_spanning presents the Fama-French 5-factor spanning regressions evaluated net of 10 bps fees (fama2015five, newey1987simple).</w:t>
      </w:r>
    </w:p>
    <w:p>
      <w:r>
        <w:t>Fama-French 5-Factor Spanning Regressions with Newey-West HAC Errors</w:t>
      </w:r>
    </w:p>
    <w:p>
      <w:r>
        <w:t>Strategy (Net 10 bps) &amp; Alpha (\%) &amp; Alpha t-stat &amp; R^2 &amp; HML Beta &amp; HML t-stat &amp; RMW Beta &amp; RMW t-stat &amp; Verdict \\</w:t>
      </w:r>
    </w:p>
    <w:p>
      <w:r>
        <w:t>LASSO LS &amp; -16.59\% &amp; -2.02 &amp; 54.6\% &amp; -0.859 &amp; -10.12 &amp; -0.008 &amp; -0.12 &amp; Spanned \\</w:t>
      </w:r>
    </w:p>
    <w:p>
      <w:r>
        <w:t>Elastic Net LS &amp; -16.46\% &amp; -2.01 &amp; 54.7\% &amp; -0.861 &amp; -10.15 &amp; -0.007 &amp; -0.10 &amp; Spanned \\</w:t>
      </w:r>
    </w:p>
    <w:p>
      <w:r>
        <w:t>Random Forest LS &amp; -7.76\% &amp; -1.07 &amp; 52.4\% &amp; -0.832 &amp; -9.59 &amp; +0.290 &amp; +3.06 &amp; Spanned \\</w:t>
      </w:r>
    </w:p>
    <w:p>
      <w:r>
        <w:t>XGBoost LS &amp; -8.33\% &amp; -1.38 &amp; 34.2\% &amp; -0.436 &amp; -7.80 &amp; +0.474 &amp; +5.92 &amp; Spanned \\</w:t>
      </w:r>
    </w:p>
    <w:p>
      <w:r>
        <w:t>PyTorch LSTM LS &amp; -0.36\% &amp; -0.06 &amp; 39.0\% &amp; -0.427 &amp; -7.14 &amp; +0.486 &amp; +8.66 &amp; Spanned (  0) \\</w:t>
      </w:r>
    </w:p>
    <w:p>
      <w:r>
        <w:t>TFDMGA LS &amp; -0.18\% &amp; -0.03 &amp; 41.2\% &amp; -0.448 &amp; -7.84 &amp; +0.512 &amp; +9.12 &amp; Spanned (  0) \\</w:t>
      </w:r>
    </w:p>
    <w:p>
      <w:r>
        <w:t>The estimated net strategy alpha is statistically zero ( = -0.18\%, p = 0.976, R^2 = 41.2\%). While 5 factors account for 41.2\% of return variation, the absence of excess alpha indicates that machine learning strategy returns reflect dynamic systematic factor risk compensation (RMW Profitability t = +9.12) rather than unpriced arbitrage (fama2015five, kelly2019characteristics).</w:t>
      </w:r>
    </w:p>
    <w:p>
      <w:r>
        <w:br w:type="page"/>
      </w:r>
    </w:p>
    <w:p>
      <w:pPr>
        <w:spacing w:before="240" w:after="120"/>
        <w:ind w:firstLine="0"/>
      </w:pPr>
      <w:r>
        <w:rPr>
          <w:rFonts w:ascii="Times New Roman" w:hAnsi="Times New Roman"/>
          <w:b/>
          <w:color w:val="0A2240"/>
          <w:sz w:val="28"/>
        </w:rPr>
        <w:t>Conclusion &amp; Future Extensions</w:t>
      </w:r>
    </w:p>
    <w:p>
      <w:pPr>
        <w:spacing w:before="200" w:after="80"/>
        <w:ind w:firstLine="0"/>
      </w:pPr>
      <w:r>
        <w:rPr>
          <w:rFonts w:ascii="Times New Roman" w:hAnsi="Times New Roman"/>
          <w:b/>
          <w:color w:val="0A2240"/>
          <w:sz w:val="28"/>
        </w:rPr>
        <w:t>Summary of Research Findings</w:t>
      </w:r>
    </w:p>
    <w:p>
      <w:r>
        <w:t>In this thesis, I conducted an empirical investigation into whether statistical machine learning and deep learning models improve cross-sectional stock return prediction across S\&amp;P 500 constituent equities over the ten-year period from 2015 through 2024 (gu2020empirical, chen2023deep). By constructing a point-in-time aligned panel free from lookahead and survivorship bias (mclean2016does), evaluating models across 5 expanding-window walk-forward test folds (2020--2024) (lopez2018advances), accounting for 10 bps transaction cost drag (novy2016taxonomy), and estimating Fama-French five-factor spanning regressions (fama2015five, carhart1997on), my study provides answers to all four core research questions:</w:t>
      </w:r>
    </w:p>
    <w:p>
      <w:r>
        <w:t>Statistical Performance of Deep Sequence Encoders (RQ1): Non-linear sequence-based deep learning models outperform traditional linear regressions (Fama-MacBeth OLS, LASSO) and static tree classifiers (Random Forest, XGBoost). The proposed TFDMGA network achieves high out-of-sample predictive accuracy, yielding a daily Information Coefficient of IC = +0.0348, an annualized ICIR = 3.12, a ROC AUC of 0.6120, and a directional accuracy of 56.84\%. A (diebold1995comparing) test with (harvey1997testing) small-sample corrections indicates statistical significance over standard LSTM models (DM = 2.41, p = 0.016).</w:t>
      </w:r>
    </w:p>
    <w:p>
      <w:r>
        <w:t>Value of Multi-Modal Feature Fusion (RQ2): Combining multi-frequency feature modalities (16 Technical, 30 Fundamental, 2 Sentiment, 5 Macro = 53 ML features) through a directed ring attention cascade (Technical  Sentiment  Fundamental  Macro) (vaswani2017attention) and dynamic macro gating (lim2021temporal) produces higher out-of-sample signal stability compared to single-modality models (cong2021textual). Sentiment indicators and price momentum drive high-frequency signal directionality, while quarterly accounting quality provides structural drawdown defense.</w:t>
      </w:r>
    </w:p>
    <w:p>
      <w:r>
        <w:t>Trading Performance \&amp; Risk Overlays (RQ3): Under 10 bps transaction costs and 1-day lagged execution (novy2016taxonomy, avramov2023machine), an initial \1,000 USD deposit (Jan 2020) grows to \3,120.99 USD under the baseline LSTM Q_5 long strategy. When paired with a 2:1 Take-Profit/Stop-Loss (TPSL) dynamic risk management overlay, drawdowns during macro stress periods (2020 COVID market decline, 2022 Fed rate hikes) are reduced, allowing capital to compound to \4,368.50 USD for LSTM and \6,482.10 USD for TFDMGA.</w:t>
      </w:r>
    </w:p>
    <w:p>
      <w:r>
        <w:t>Econometric Factor Spanning \&amp; Market Efficiency (RQ4): Fama-French 5-factor spanning regressions yield an estimated net strategy alpha of  = -0.18\% per year (p = 0.976, R^2 = 41.2\%) (fama2015five, newey1987simple). Because net alpha is statistically indistinguishable from zero, 100\% of the strategy's return generation is accounted for by systematic factor exposures (Mkt-RF, SMB, HML, RMW, CMA). This suggests that machine learning models function as dynamic factor allocation engines (kelly2019characteristics, kozak2020shrinking) rather than discoverers of unpriced market arbitrage, maintaining consistency with market efficiency (fama1970efficient).</w:t>
      </w:r>
    </w:p>
    <w:p>
      <w:pPr>
        <w:spacing w:before="200" w:after="80"/>
        <w:ind w:firstLine="0"/>
      </w:pPr>
      <w:r>
        <w:rPr>
          <w:rFonts w:ascii="Times New Roman" w:hAnsi="Times New Roman"/>
          <w:b/>
          <w:color w:val="0A2240"/>
          <w:sz w:val="28"/>
        </w:rPr>
        <w:t>Theoretical and Practical Implications</w:t>
      </w:r>
    </w:p>
    <w:p>
      <w:r>
        <w:t>The empirical conclusions of this study carry several implications for quantitative finance practitioners and academic researchers:</w:t>
      </w:r>
    </w:p>
    <w:p>
      <w:r>
        <w:t>For Empirical Asset Pricing: The collapse of LASSO under linear MSE loss highlights the importance of rank-based loss functions (L_rank, L_IC) when training machine learning architectures on noisy financial return targets (tibshirani1996regression, kozak2020shrinking, gu2020empirical).</w:t>
      </w:r>
    </w:p>
    <w:p>
      <w:r>
        <w:t>For Institutional Asset Managers: Daily alpha signals experience turnover drag ( 13\% daily turnover). Incorporating dynamic risk management rules (such as 2:1 TPSL circuit breakers) is essential for preserving capital and converting statistical predictions into tradeable wealth compounding (novy2016taxonomy, frazzini2014betting).</w:t>
      </w:r>
    </w:p>
    <w:p>
      <w:r>
        <w:t>For Market Efficiency Debates: Demonstrating that deep learning model returns are spanned by systematic Fama-French factors provides insight into why ML strategies generate positive returns. Machine learning does not violate market efficiency (fama1970efficient); rather, it automates dynamic factor rotation across macroeconomic regimes (kelly2019characteristics, chen2023deep).</w:t>
      </w:r>
    </w:p>
    <w:p>
      <w:pPr>
        <w:spacing w:before="200" w:after="80"/>
        <w:ind w:firstLine="0"/>
      </w:pPr>
      <w:r>
        <w:rPr>
          <w:rFonts w:ascii="Times New Roman" w:hAnsi="Times New Roman"/>
          <w:b/>
          <w:color w:val="0A2240"/>
          <w:sz w:val="28"/>
        </w:rPr>
        <w:t>Limitations of the Study</w:t>
      </w:r>
    </w:p>
    <w:p>
      <w:r>
        <w:t>While this thesis adheres to standard backtesting protocols (lopez2018advances), certain empirical limitations exist:</w:t>
      </w:r>
    </w:p>
    <w:p>
      <w:r>
        <w:t>Execution Slippage \&amp; Market Impact: Transaction costs were modeled using fixed round-trip friction levels (5, 10, 20 bps). Real-world execution of large institutional orders introduces non-linear square-root market impact drag (novy2016taxonomy).</w:t>
      </w:r>
    </w:p>
    <w:p>
      <w:r>
        <w:t>Universe Limitation: The empirical panel is restricted to U.S. Large-Cap S\&amp;P 500 equities. Smaller, less liquid mid-cap or small-cap stocks may present different return patterns along with higher transaction costs (avramov2023machine, hou2020replicating).</w:t>
      </w:r>
    </w:p>
    <w:p>
      <w:pPr>
        <w:spacing w:before="200" w:after="80"/>
        <w:ind w:firstLine="0"/>
      </w:pPr>
      <w:r>
        <w:rPr>
          <w:rFonts w:ascii="Times New Roman" w:hAnsi="Times New Roman"/>
          <w:b/>
          <w:color w:val="0A2240"/>
          <w:sz w:val="28"/>
        </w:rPr>
        <w:t>Future Research Extensions</w:t>
      </w:r>
    </w:p>
    <w:p>
      <w:r>
        <w:t>The empirical baseline established in this thesis provides several avenues for future research extensions:</w:t>
      </w:r>
    </w:p>
    <w:p>
      <w:r>
        <w:t>[Extension 1:] Spatio-Temporal Graph Neural Networks -- Extending the stock sequence encoders in TFDMGA to a Spatio-Temporal Graph Attention Network (GAT), modeling stocks as graph nodes with dynamic edge weights A_ij,t to capture cross-sectional supply chain linkages, industry spillovers, and dynamic return correlations (vaswani2017attention, chen2023deep).</w:t>
      </w:r>
    </w:p>
    <w:p>
      <w:r>
        <w:t>[Extension 2:] Macro-Conditioned Hyper-LoRA Attention -- Conditioning Transformer attention projections (W_Q, W_K, W_V) on macroeconomic regimes using Hypernetworks and Low-Rank Adaptation (LoRA) to allow dynamic adjustment to changing macroeconomic environments (lim2021temporal).</w:t>
      </w:r>
    </w:p>
    <w:p>
      <w:r>
        <w:t>[Extension 3:] Continuous Deep Reinforcement Learning with Differentiable QP Layers -- Replacing decile portfolio sorting with a continuous Deep Reinforcement Learning (DRL) agent (PPO) coupled with a differentiable Quadratic Programming solver layer (cvxpylayers) to optimize continuous portfolio weights directly against non-linear Sharpe ratio rewards (lopez2020machine, novy2016taxonomy).</w:t>
      </w:r>
    </w:p>
    <w:p>
      <w:r>
        <w:t>[Extension 4:] Conditional Variational Autoencoder Factor Extraction -- Developing a probabilistic Conditional Variational Autoencoder (CVAE) to extract non-linear latent factor spaces from high-dimensional characteristics (gu2021autoencoder, kelly2019characteristics, chen2023deep).</w:t>
      </w:r>
    </w:p>
    <w:p>
      <w:r>
        <w:br w:type="page"/>
      </w:r>
    </w:p>
    <w:sectPr w:rsidR="00FC693F" w:rsidRPr="0006063C" w:rsidSect="00034616">
      <w:pgSz w:w="12240" w:h="15840"/>
      <w:pgMar w:top="1800" w:right="1800" w:bottom="18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720"/>
      <w:jc w:val="both"/>
    </w:pPr>
    <w:rPr>
      <w:rFonts w:ascii="Times New Roman" w:hAnsi="Times New Roman"/>
      <w:color w:val="2328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