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AI TUTOR INTELLIGENCE LAYER</w:t>
      </w:r>
    </w:p>
    <w:p>
      <w:pPr>
        <w:spacing w:after="40"/>
        <w:jc w:val="center"/>
      </w:pPr>
      <w:r>
        <w:rPr>
          <w:i/>
          <w:iCs/>
          <w:color w:val="0E7C7B"/>
          <w:sz w:val="24"/>
          <w:szCs w:val="24"/>
        </w:rPr>
        <w:t xml:space="preserve">Brainstorm Addendum — AI-Driven Tutoring Controls for the UK Exam-Prep Platform</w:t>
      </w:r>
    </w:p>
    <w:p>
      <w:pPr>
        <w:spacing w:after="300"/>
        <w:jc w:val="center"/>
      </w:pPr>
      <w:r>
        <w:rPr>
          <w:color w:val="595959"/>
          <w:sz w:val="20"/>
          <w:szCs w:val="20"/>
        </w:rPr>
        <w:t xml:space="preserve">11+  ·  GCSE  ·  iGCSE  ·  A Level   (Maths, English, Chemistry, Physics, Biology)</w:t>
      </w:r>
    </w:p>
    <w:p>
      <w:pPr>
        <w:spacing w:after="20"/>
        <w:jc w:val="center"/>
      </w:pPr>
      <w:r>
        <w:rPr>
          <w:i/>
          <w:iCs/>
          <w:color w:val="595959"/>
          <w:sz w:val="18"/>
          <w:szCs w:val="18"/>
        </w:rPr>
        <w:t xml:space="preserve">Draft for stakeholder discussion — not yet approved  ·  September 2026</w:t>
      </w:r>
    </w:p>
    <w:p>
      <w:pPr>
        <w:spacing w:after="20"/>
        <w:jc w:val="center"/>
      </w:pPr>
      <w:r>
        <w:rPr>
          <w:i/>
          <w:iCs/>
          <w:color w:val="0E7C7B"/>
          <w:sz w:val="16"/>
          <w:szCs w:val="16"/>
        </w:rPr>
        <w:t xml:space="preserve">Updated: reconciled against Development Brief v3 + GCSE/iGCSE Chemistry pilot kickoff (Sections 10–11)</w:t>
      </w:r>
    </w:p>
    <w:p>
      <w:pPr>
        <w:pBdr>
          <w:bottom w:val="single" w:color="BFBFBF" w:sz="6" w:space="4"/>
        </w:pBdr>
        <w:spacing w:after="200"/>
      </w:pPr>
    </w:p>
    <w:p>
      <w:pPr>
        <w:pStyle w:val="Heading1"/>
        <w:pBdr>
          <w:bottom w:val="single" w:color="1F3864" w:sz="8" w:space="4"/>
        </w:pBdr>
        <w:spacing w:after="160" w:before="400"/>
      </w:pPr>
      <w:r>
        <w:rPr>
          <w:b/>
          <w:bCs/>
          <w:color w:val="1F3864"/>
          <w:sz w:val="30"/>
          <w:szCs w:val="30"/>
        </w:rPr>
        <w:t xml:space="preserve">1. Purpose of This Document</w:t>
      </w:r>
    </w:p>
    <w:p>
      <w:pPr>
        <w:spacing w:after="110"/>
      </w:pPr>
      <w:r>
        <w:rPr>
          <w:color w:val="262626"/>
          <w:sz w:val="21"/>
          <w:szCs w:val="21"/>
        </w:rPr>
        <w:t xml:space="preserve">The two existing client documents (the “Website Analysis &amp; Development Brief” and the plain-English “Summary Brief”) already specify the full Atom Learning-equivalent build, the extension into iGCSE and A Level, and the flagship differentiator: a limitless AI-generated past-paper practice engine, plus a set of smaller improvements (flashcards, quiz bank, in-the-moment explainers, positioning, trust, design and pricing ideas).</w:t>
      </w:r>
    </w:p>
    <w:p>
      <w:pPr>
        <w:spacing w:after="110"/>
      </w:pPr>
      <w:r>
        <w:rPr>
          <w:color w:val="262626"/>
          <w:sz w:val="21"/>
          <w:szCs w:val="21"/>
        </w:rPr>
        <w:t xml:space="preserve">This document adds a layer that sits on top of that scope and was explicitly requested but not covered in either brief: the AI tutor’s real-time behavioural intelligence — how the system notices when a student is struggling, losing focus, guessing, or ready for a harder question, and what it does about it in the moment. Everything below is grounded in current (2026) research and in what the strongest competitors in this exact space — Khan Academy’s Khanmigo, Third Space Learning’s “Skye”, Sparx Maths, and Squirrel AI — are already shipping, so these are realistic next steps rather than speculative ideas.</w:t>
      </w:r>
    </w:p>
    <w:p>
      <w:pPr>
        <w:spacing w:after="110"/>
      </w:pPr>
      <w:r>
        <w:rPr>
          <w:color w:val="262626"/>
          <w:sz w:val="21"/>
          <w:szCs w:val="21"/>
        </w:rPr>
        <w:t xml:space="preserve">This is an input for the scoping discussion, not a commitment. Every item is labelled with a rough effort level (quick win / medium build / bigger project), in the same style as Part 2 of the original brief, so the stakeholder can triage and sequence it once the overall feature set is reviewed and approved. Section 8 lists the specific decisions that need an explicit yes/no before any of this moves to implementation.</w:t>
      </w:r>
    </w:p>
    <w:p>
      <w:pPr>
        <w:pStyle w:val="Heading1"/>
        <w:pBdr>
          <w:bottom w:val="single" w:color="1F3864" w:sz="8" w:space="4"/>
        </w:pBdr>
        <w:spacing w:after="160" w:before="400"/>
      </w:pPr>
      <w:r>
        <w:rPr>
          <w:b/>
          <w:bCs/>
          <w:color w:val="1F3864"/>
          <w:sz w:val="30"/>
          <w:szCs w:val="30"/>
        </w:rPr>
        <w:t xml:space="preserve">2. Why This Layer Is the Real Lever, Not a Nice-to-Have</w:t>
      </w:r>
    </w:p>
    <w:p>
      <w:pPr>
        <w:spacing w:after="110"/>
      </w:pPr>
      <w:r>
        <w:rPr>
          <w:color w:val="262626"/>
          <w:sz w:val="21"/>
          <w:szCs w:val="21"/>
        </w:rPr>
        <w:t xml:space="preserve">Two independent 2025–26 findings make the case that behavioural/adaptive intelligence isn’t cosmetic — it’s what decides whether the platform actually works:</w:t>
      </w:r>
    </w:p>
    <w:p>
      <w:pPr>
        <w:pStyle w:val="ListParagraph"/>
        <w:numPr>
          <w:ilvl w:val="0"/>
          <w:numId w:val="2"/>
        </w:numPr>
        <w:spacing w:after="60"/>
      </w:pPr>
      <w:r>
        <w:rPr>
          <w:color w:val="262626"/>
          <w:sz w:val="21"/>
          <w:szCs w:val="21"/>
        </w:rPr>
        <w:t xml:space="preserve">Cambridge University’s independent evaluation of Sparx Maths (3,956 Year 7–8 students across 14 UK schools) found no measurable benefit from students simply having access to the platform. The gains — worth up to roughly 30% of a predicted GCSE grade — appeared only for students who actively engaged with the recommended one hour of homework per week. Access without sustained, active engagement produced nothing, and the benefit held equally across EAL, free-school-meal and varied-prior-attainment groups.</w:t>
      </w:r>
    </w:p>
    <w:p>
      <w:pPr>
        <w:pStyle w:val="ListParagraph"/>
        <w:numPr>
          <w:ilvl w:val="0"/>
          <w:numId w:val="2"/>
        </w:numPr>
        <w:spacing w:after="60"/>
      </w:pPr>
      <w:r>
        <w:rPr>
          <w:color w:val="262626"/>
          <w:sz w:val="21"/>
          <w:szCs w:val="21"/>
        </w:rPr>
        <w:t xml:space="preserve">A 2025 randomised trial of Khanmigo found a 0.34 standard-deviation learning gain in algebra — a genuinely good result for an AI tutor. But Benjamin Bloom’s landmark 1984 study put effective one-to-one human tutoring at roughly +2.0 standard deviations. Today’s best AI tutors are recovering only a fraction of that “2-sigma” benchmark, and the reviews of why converge on the same answer: today’s tutors are good at answering, but weak at noticing when a student is checked out, frustrated or bored, and adjusting in real time the way a good human tutor does instinctively.</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Sparx Maths / University of Cambridge Faculty of Education, “Sparx Maths Key Findings Report”; 2025 Khanmigo RCT as reported in Fora Soft’s 2026 AI-tutoring build playbook; Bloom, B.S. (1984), “The 2 Sigma Problem: The Search for Methods of Group Instruction as Effective as One-to-One Tutoring.”</w:t>
      </w:r>
    </w:p>
    <w:p>
      <w:pPr>
        <w:spacing w:after="110"/>
      </w:pPr>
      <w:r>
        <w:rPr>
          <w:color w:val="262626"/>
          <w:sz w:val="21"/>
          <w:szCs w:val="21"/>
        </w:rPr>
        <w:t xml:space="preserve">Put simply: the flagship AI-question-generation engine already scoped in the brief solves “we ran out of past papers.” This layer solves the harder, higher-value problem — keeping the student actually using that unlimited material well, for as long as it takes, without losing focus or quietly giving up. That is exactly the gap the client’s brief flags in principle (the AI-tutor “controls” idea) but doesn’t yet specify.</w:t>
      </w:r>
    </w:p>
    <w:p>
      <w:pPr>
        <w:pStyle w:val="Heading1"/>
        <w:pBdr>
          <w:bottom w:val="single" w:color="1F3864" w:sz="8" w:space="4"/>
        </w:pBdr>
        <w:spacing w:after="160" w:before="400"/>
      </w:pPr>
      <w:r>
        <w:rPr>
          <w:b/>
          <w:bCs/>
          <w:color w:val="1F3864"/>
          <w:sz w:val="30"/>
          <w:szCs w:val="30"/>
        </w:rPr>
        <w:t xml:space="preserve">3. Competitive Snapshot: Who Already Does What</w:t>
      </w:r>
    </w:p>
    <w:p>
      <w:pPr>
        <w:spacing w:after="110"/>
      </w:pPr>
      <w:r>
        <w:rPr>
          <w:color w:val="262626"/>
          <w:sz w:val="21"/>
          <w:szCs w:val="21"/>
        </w:rPr>
        <w:t xml:space="preserve">A reality check before proposing anything new — this is roughly where the strongest players in adjacent markets already sit, based on 2026 product research. None of them combine everything in Section 4 below into one product, which is the opportunity.</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c>
          <w:tcPr>
            <w:tcW w:type="dxa" w:w="2000"/>
            <w:shd w:fill="1F3864" w:val="clear"/>
            <w:tcMar>
              <w:top w:type="dxa" w:w="80"/>
              <w:left w:type="dxa" w:w="100"/>
              <w:bottom w:type="dxa" w:w="80"/>
              <w:right w:type="dxa" w:w="100"/>
            </w:tcMar>
          </w:tcPr>
          <w:p>
            <w:pPr>
              <w:jc w:val="left"/>
            </w:pPr>
            <w:r>
              <w:rPr>
                <w:b/>
                <w:bCs/>
                <w:color w:val="FFFFFF"/>
                <w:sz w:val="19"/>
                <w:szCs w:val="19"/>
              </w:rPr>
              <w:t xml:space="preserve">Product</w:t>
            </w:r>
          </w:p>
        </w:tc>
        <w:tc>
          <w:tcPr>
            <w:tcW w:type="dxa" w:w="3800"/>
            <w:shd w:fill="1F3864" w:val="clear"/>
            <w:tcMar>
              <w:top w:type="dxa" w:w="80"/>
              <w:left w:type="dxa" w:w="100"/>
              <w:bottom w:type="dxa" w:w="80"/>
              <w:right w:type="dxa" w:w="100"/>
            </w:tcMar>
          </w:tcPr>
          <w:p>
            <w:pPr>
              <w:jc w:val="left"/>
            </w:pPr>
            <w:r>
              <w:rPr>
                <w:b/>
                <w:bCs/>
                <w:color w:val="FFFFFF"/>
                <w:sz w:val="19"/>
                <w:szCs w:val="19"/>
              </w:rPr>
              <w:t xml:space="preserve">What they already do well</w:t>
            </w:r>
          </w:p>
        </w:tc>
        <w:tc>
          <w:tcPr>
            <w:tcW w:type="dxa" w:w="3800"/>
            <w:shd w:fill="1F3864" w:val="clear"/>
            <w:tcMar>
              <w:top w:type="dxa" w:w="80"/>
              <w:left w:type="dxa" w:w="100"/>
              <w:bottom w:type="dxa" w:w="80"/>
              <w:right w:type="dxa" w:w="100"/>
            </w:tcMar>
          </w:tcPr>
          <w:p>
            <w:pPr>
              <w:jc w:val="left"/>
            </w:pPr>
            <w:r>
              <w:rPr>
                <w:b/>
                <w:bCs/>
                <w:color w:val="FFFFFF"/>
                <w:sz w:val="19"/>
                <w:szCs w:val="19"/>
              </w:rPr>
              <w:t xml:space="preserve">Gap we can fill</w:t>
            </w:r>
          </w:p>
        </w:tc>
      </w:tr>
      <w:tr>
        <w:tc>
          <w:tcPr>
            <w:tcW w:type="dxa" w:w="2000"/>
            <w:tcMar>
              <w:top w:type="dxa" w:w="80"/>
              <w:left w:type="dxa" w:w="100"/>
              <w:bottom w:type="dxa" w:w="80"/>
              <w:right w:type="dxa" w:w="100"/>
            </w:tcMar>
          </w:tcPr>
          <w:p>
            <w:pPr>
              <w:jc w:val="left"/>
            </w:pPr>
            <w:r>
              <w:rPr>
                <w:b w:val="false"/>
                <w:bCs w:val="false"/>
                <w:color w:val="262626"/>
                <w:sz w:val="19"/>
                <w:szCs w:val="19"/>
              </w:rPr>
              <w:t xml:space="preserve">Atom Learning (direct reference site)</w:t>
            </w:r>
          </w:p>
        </w:tc>
        <w:tc>
          <w:tcPr>
            <w:tcW w:type="dxa" w:w="3800"/>
            <w:tcMar>
              <w:top w:type="dxa" w:w="80"/>
              <w:left w:type="dxa" w:w="100"/>
              <w:bottom w:type="dxa" w:w="80"/>
              <w:right w:type="dxa" w:w="100"/>
            </w:tcMar>
          </w:tcPr>
          <w:p>
            <w:pPr>
              <w:jc w:val="left"/>
            </w:pPr>
            <w:r>
              <w:rPr>
                <w:b w:val="false"/>
                <w:bCs w:val="false"/>
                <w:color w:val="262626"/>
                <w:sz w:val="19"/>
                <w:szCs w:val="19"/>
              </w:rPr>
              <w:t xml:space="preserve">Subscriptions, unlimited practice tests, instant marking, longitudinal progress tracking, age/qualification-segmented content — no AI question-generation claim, no visible engagement/attention logic.</w:t>
            </w:r>
          </w:p>
        </w:tc>
        <w:tc>
          <w:tcPr>
            <w:tcW w:type="dxa" w:w="3800"/>
            <w:tcMar>
              <w:top w:type="dxa" w:w="80"/>
              <w:left w:type="dxa" w:w="100"/>
              <w:bottom w:type="dxa" w:w="80"/>
              <w:right w:type="dxa" w:w="100"/>
            </w:tcMar>
          </w:tcPr>
          <w:p>
            <w:pPr>
              <w:jc w:val="left"/>
            </w:pPr>
            <w:r>
              <w:rPr>
                <w:b w:val="false"/>
                <w:bCs w:val="false"/>
                <w:color w:val="262626"/>
                <w:sz w:val="19"/>
                <w:szCs w:val="19"/>
              </w:rPr>
              <w:t xml:space="preserve">Everything in Section 4 — Atom is the content/commercial baseline, not an AI-controls competitor.</w:t>
            </w:r>
          </w:p>
        </w:tc>
      </w:tr>
      <w:tr>
        <w:tc>
          <w:tcPr>
            <w:tcW w:type="dxa" w:w="2000"/>
            <w:shd w:fill="F5F7FA" w:val="clear"/>
            <w:tcMar>
              <w:top w:type="dxa" w:w="80"/>
              <w:left w:type="dxa" w:w="100"/>
              <w:bottom w:type="dxa" w:w="80"/>
              <w:right w:type="dxa" w:w="100"/>
            </w:tcMar>
          </w:tcPr>
          <w:p>
            <w:pPr>
              <w:jc w:val="left"/>
            </w:pPr>
            <w:r>
              <w:rPr>
                <w:b w:val="false"/>
                <w:bCs w:val="false"/>
                <w:color w:val="262626"/>
                <w:sz w:val="19"/>
                <w:szCs w:val="19"/>
              </w:rPr>
              <w:t xml:space="preserve">Khan Academy – Khanmigo</w:t>
            </w:r>
          </w:p>
        </w:tc>
        <w:tc>
          <w:tcPr>
            <w:tcW w:type="dxa" w:w="3800"/>
            <w:shd w:fill="F5F7FA" w:val="clear"/>
            <w:tcMar>
              <w:top w:type="dxa" w:w="80"/>
              <w:left w:type="dxa" w:w="100"/>
              <w:bottom w:type="dxa" w:w="80"/>
              <w:right w:type="dxa" w:w="100"/>
            </w:tcMar>
          </w:tcPr>
          <w:p>
            <w:pPr>
              <w:jc w:val="left"/>
            </w:pPr>
            <w:r>
              <w:rPr>
                <w:b w:val="false"/>
                <w:bCs w:val="false"/>
                <w:color w:val="262626"/>
                <w:sz w:val="19"/>
                <w:szCs w:val="19"/>
              </w:rPr>
              <w:t xml:space="preserve">Strong Socratic dialogue discipline (“what do you think the next step is?”), heavy safety layering (secondary monitoring AI, off-topic flagging), teacher dashboards.</w:t>
            </w:r>
          </w:p>
        </w:tc>
        <w:tc>
          <w:tcPr>
            <w:tcW w:type="dxa" w:w="3800"/>
            <w:shd w:fill="F5F7FA" w:val="clear"/>
            <w:tcMar>
              <w:top w:type="dxa" w:w="80"/>
              <w:left w:type="dxa" w:w="100"/>
              <w:bottom w:type="dxa" w:w="80"/>
              <w:right w:type="dxa" w:w="100"/>
            </w:tcMar>
          </w:tcPr>
          <w:p>
            <w:pPr>
              <w:jc w:val="left"/>
            </w:pPr>
            <w:r>
              <w:rPr>
                <w:b w:val="false"/>
                <w:bCs w:val="false"/>
                <w:color w:val="262626"/>
                <w:sz w:val="19"/>
                <w:szCs w:val="19"/>
              </w:rPr>
              <w:t xml:space="preserve">Public reporting shows real engagement problems — teenagers find the chatty format “overdone” and disengage; no published knowledge-tracing/mastery model. Room to out-execute on genuine attention/focus management, not just chat.</w:t>
            </w:r>
          </w:p>
        </w:tc>
      </w:tr>
      <w:tr>
        <w:tc>
          <w:tcPr>
            <w:tcW w:type="dxa" w:w="2000"/>
            <w:tcMar>
              <w:top w:type="dxa" w:w="80"/>
              <w:left w:type="dxa" w:w="100"/>
              <w:bottom w:type="dxa" w:w="80"/>
              <w:right w:type="dxa" w:w="100"/>
            </w:tcMar>
          </w:tcPr>
          <w:p>
            <w:pPr>
              <w:jc w:val="left"/>
            </w:pPr>
            <w:r>
              <w:rPr>
                <w:b w:val="false"/>
                <w:bCs w:val="false"/>
                <w:color w:val="262626"/>
                <w:sz w:val="19"/>
                <w:szCs w:val="19"/>
              </w:rPr>
              <w:t xml:space="preserve">Third Space Learning – “Skye”</w:t>
            </w:r>
          </w:p>
        </w:tc>
        <w:tc>
          <w:tcPr>
            <w:tcW w:type="dxa" w:w="3800"/>
            <w:tcMar>
              <w:top w:type="dxa" w:w="80"/>
              <w:left w:type="dxa" w:w="100"/>
              <w:bottom w:type="dxa" w:w="80"/>
              <w:right w:type="dxa" w:w="100"/>
            </w:tcMar>
          </w:tcPr>
          <w:p>
            <w:pPr>
              <w:jc w:val="left"/>
            </w:pPr>
            <w:r>
              <w:rPr>
                <w:b w:val="false"/>
                <w:bCs w:val="false"/>
                <w:color w:val="262626"/>
                <w:sz w:val="19"/>
                <w:szCs w:val="19"/>
              </w:rPr>
              <w:t xml:space="preserve">Assessment-informed personalisation, an explicit “I do / We do / You do” teaching sequence, real-time scaffolding vs. independent-practice branching, strong outcome data (92% session-assessment completion).</w:t>
            </w:r>
          </w:p>
        </w:tc>
        <w:tc>
          <w:tcPr>
            <w:tcW w:type="dxa" w:w="3800"/>
            <w:tcMar>
              <w:top w:type="dxa" w:w="80"/>
              <w:left w:type="dxa" w:w="100"/>
              <w:bottom w:type="dxa" w:w="80"/>
              <w:right w:type="dxa" w:w="100"/>
            </w:tcMar>
          </w:tcPr>
          <w:p>
            <w:pPr>
              <w:jc w:val="left"/>
            </w:pPr>
            <w:r>
              <w:rPr>
                <w:b w:val="false"/>
                <w:bCs w:val="false"/>
                <w:color w:val="262626"/>
                <w:sz w:val="19"/>
                <w:szCs w:val="19"/>
              </w:rPr>
              <w:t xml:space="preserve">Skye is a scheduled, teacher-directed session product, not an on-demand self-serve engine covering 11+ through A Level with unlimited AI-generated practice.</w:t>
            </w:r>
          </w:p>
        </w:tc>
      </w:tr>
      <w:tr>
        <w:tc>
          <w:tcPr>
            <w:tcW w:type="dxa" w:w="2000"/>
            <w:shd w:fill="F5F7FA" w:val="clear"/>
            <w:tcMar>
              <w:top w:type="dxa" w:w="80"/>
              <w:left w:type="dxa" w:w="100"/>
              <w:bottom w:type="dxa" w:w="80"/>
              <w:right w:type="dxa" w:w="100"/>
            </w:tcMar>
          </w:tcPr>
          <w:p>
            <w:pPr>
              <w:jc w:val="left"/>
            </w:pPr>
            <w:r>
              <w:rPr>
                <w:b w:val="false"/>
                <w:bCs w:val="false"/>
                <w:color w:val="262626"/>
                <w:sz w:val="19"/>
                <w:szCs w:val="19"/>
              </w:rPr>
              <w:t xml:space="preserve">Sparx Maths</w:t>
            </w:r>
          </w:p>
        </w:tc>
        <w:tc>
          <w:tcPr>
            <w:tcW w:type="dxa" w:w="3800"/>
            <w:shd w:fill="F5F7FA" w:val="clear"/>
            <w:tcMar>
              <w:top w:type="dxa" w:w="80"/>
              <w:left w:type="dxa" w:w="100"/>
              <w:bottom w:type="dxa" w:w="80"/>
              <w:right w:type="dxa" w:w="100"/>
            </w:tcMar>
          </w:tcPr>
          <w:p>
            <w:pPr>
              <w:jc w:val="left"/>
            </w:pPr>
            <w:r>
              <w:rPr>
                <w:b w:val="false"/>
                <w:bCs w:val="false"/>
                <w:color w:val="262626"/>
                <w:sz w:val="19"/>
                <w:szCs w:val="19"/>
              </w:rPr>
              <w:t xml:space="preserve">Spaced, interleaved, appropriately-challenging homework sets; instant feedback; strong independent evidence base tying active use to grade impact.</w:t>
            </w:r>
          </w:p>
        </w:tc>
        <w:tc>
          <w:tcPr>
            <w:tcW w:type="dxa" w:w="3800"/>
            <w:shd w:fill="F5F7FA" w:val="clear"/>
            <w:tcMar>
              <w:top w:type="dxa" w:w="80"/>
              <w:left w:type="dxa" w:w="100"/>
              <w:bottom w:type="dxa" w:w="80"/>
              <w:right w:type="dxa" w:w="100"/>
            </w:tcMar>
          </w:tcPr>
          <w:p>
            <w:pPr>
              <w:jc w:val="left"/>
            </w:pPr>
            <w:r>
              <w:rPr>
                <w:b w:val="false"/>
                <w:bCs w:val="false"/>
                <w:color w:val="262626"/>
                <w:sz w:val="19"/>
                <w:szCs w:val="19"/>
              </w:rPr>
              <w:t xml:space="preserve">Maths-only, homework-only pattern (not a full multi-subject tutor); no conversational AI tutor layer, no A-Level or GCSE-sciences equivalent.</w:t>
            </w:r>
          </w:p>
        </w:tc>
      </w:tr>
      <w:tr>
        <w:tc>
          <w:tcPr>
            <w:tcW w:type="dxa" w:w="2000"/>
            <w:tcMar>
              <w:top w:type="dxa" w:w="80"/>
              <w:left w:type="dxa" w:w="100"/>
              <w:bottom w:type="dxa" w:w="80"/>
              <w:right w:type="dxa" w:w="100"/>
            </w:tcMar>
          </w:tcPr>
          <w:p>
            <w:pPr>
              <w:jc w:val="left"/>
            </w:pPr>
            <w:r>
              <w:rPr>
                <w:b w:val="false"/>
                <w:bCs w:val="false"/>
                <w:color w:val="262626"/>
                <w:sz w:val="19"/>
                <w:szCs w:val="19"/>
              </w:rPr>
              <w:t xml:space="preserve">Squirrel AI (China, reference architecture)</w:t>
            </w:r>
          </w:p>
        </w:tc>
        <w:tc>
          <w:tcPr>
            <w:tcW w:type="dxa" w:w="3800"/>
            <w:tcMar>
              <w:top w:type="dxa" w:w="80"/>
              <w:left w:type="dxa" w:w="100"/>
              <w:bottom w:type="dxa" w:w="80"/>
              <w:right w:type="dxa" w:w="100"/>
            </w:tcMar>
          </w:tcPr>
          <w:p>
            <w:pPr>
              <w:jc w:val="left"/>
            </w:pPr>
            <w:r>
              <w:rPr>
                <w:b w:val="false"/>
                <w:bCs w:val="false"/>
                <w:color w:val="262626"/>
                <w:sz w:val="19"/>
                <w:szCs w:val="19"/>
              </w:rPr>
              <w:t xml:space="preserve">Fine-grained “nano-layer” knowledge-point graph, adaptive sequencing engine, one of the most cited large-scale adaptive-learning deployments globally.</w:t>
            </w:r>
          </w:p>
        </w:tc>
        <w:tc>
          <w:tcPr>
            <w:tcW w:type="dxa" w:w="3800"/>
            <w:tcMar>
              <w:top w:type="dxa" w:w="80"/>
              <w:left w:type="dxa" w:w="100"/>
              <w:bottom w:type="dxa" w:w="80"/>
              <w:right w:type="dxa" w:w="100"/>
            </w:tcMar>
          </w:tcPr>
          <w:p>
            <w:pPr>
              <w:jc w:val="left"/>
            </w:pPr>
            <w:r>
              <w:rPr>
                <w:b w:val="false"/>
                <w:bCs w:val="false"/>
                <w:color w:val="262626"/>
                <w:sz w:val="19"/>
                <w:szCs w:val="19"/>
              </w:rPr>
              <w:t xml:space="preserve">Not UK-curriculum-aligned, no conversational LLM tutor layer (built pre-LLM era) — useful as an architecture reference for knowledge-graph granularity, not a direct competitor here.</w:t>
            </w:r>
          </w:p>
        </w:tc>
      </w:tr>
    </w:tbl>
    <w:p>
      <w:pPr>
        <w:spacing w:after="160"/>
      </w:pPr>
    </w:p>
    <w:p>
      <w:pPr>
        <w:pStyle w:val="Heading1"/>
        <w:pBdr>
          <w:bottom w:val="single" w:color="1F3864" w:sz="8" w:space="4"/>
        </w:pBdr>
        <w:spacing w:after="160" w:before="400"/>
      </w:pPr>
      <w:r>
        <w:rPr>
          <w:b/>
          <w:bCs/>
          <w:color w:val="1F3864"/>
          <w:sz w:val="30"/>
          <w:szCs w:val="30"/>
        </w:rPr>
        <w:t xml:space="preserve">4. The AI Tutor Control Layer</w:t>
      </w:r>
    </w:p>
    <w:p>
      <w:pPr>
        <w:spacing w:after="110"/>
      </w:pPr>
      <w:r>
        <w:rPr>
          <w:color w:val="262626"/>
          <w:sz w:val="21"/>
          <w:szCs w:val="21"/>
        </w:rPr>
        <w:t xml:space="preserve">Six groups of controls. Each item names the effort level in the same convention as the client’s original Part 2 (quick win / medium build / bigger project). Where an item reuses infrastructure already scoped in the brief (the marking engine, the question-generation engine, the progress-tracking dashboard), that’s called out so nothing is double-built.</w:t>
      </w:r>
    </w:p>
    <w:p>
      <w:pPr>
        <w:pStyle w:val="Heading2"/>
        <w:spacing w:after="120" w:before="300"/>
      </w:pPr>
      <w:r>
        <w:rPr>
          <w:b/>
          <w:bCs/>
          <w:color w:val="1F3864"/>
          <w:sz w:val="25"/>
          <w:szCs w:val="25"/>
        </w:rPr>
        <w:t xml:space="preserve">4.1  Attention, Engagement &amp; Focus Intelligence</w:t>
      </w:r>
    </w:p>
    <w:p>
      <w:pPr>
        <w:spacing w:after="110"/>
      </w:pPr>
      <w:r>
        <w:rPr>
          <w:color w:val="262626"/>
          <w:sz w:val="21"/>
          <w:szCs w:val="21"/>
        </w:rPr>
        <w:t xml:space="preserve">This is the direct answer to “if a student stays too long on a question, shift them to something else” and “pop up a surprise quiz.” It runs entirely on behavioural signals already available in a web/app session — no camera, no biometric hardware.</w:t>
      </w:r>
    </w:p>
    <w:p>
      <w:pPr>
        <w:keepNext/>
        <w:spacing w:after="60" w:before="240"/>
      </w:pPr>
      <w:r>
        <w:rPr>
          <w:b/>
          <w:bCs/>
          <w:color w:val="1A1A1A"/>
          <w:sz w:val="23"/>
          <w:szCs w:val="23"/>
        </w:rPr>
        <w:t xml:space="preserve">Behavioural engagement telemetry</w:t>
      </w:r>
      <w:r>
        <w:rPr>
          <w:b/>
          <w:bCs/>
          <w:color w:val="B45309"/>
          <w:sz w:val="18"/>
          <w:szCs w:val="18"/>
        </w:rPr>
        <w:t xml:space="preserve">   ·   Effort: Medium build</w:t>
      </w:r>
    </w:p>
    <w:p>
      <w:pPr>
        <w:spacing w:after="110"/>
      </w:pPr>
      <w:r>
        <w:rPr>
          <w:color w:val="262626"/>
          <w:sz w:val="21"/>
          <w:szCs w:val="21"/>
        </w:rPr>
        <w:t xml:space="preserve">Every question interaction emits lightweight events: time-to-first-action, total time-on-question versus that topic’s typical solve time, number of answer changes before submission, idle/away gaps, and scroll/tab-switch signals in the web app. These feed a rolling per-session “engagement score”, the same event-driven pattern used in published multimodal engagement-detection research (adapted here to behavioural-only signals, deliberately excluding camera/biometric input for the reasons set out in Section 6).</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A 2026 multimodal engagement-detection framework (Springer) using comparable behavioural + interaction signals reduced prolonged low-engagement periods from an average 48.6 seconds to 21.3 seconds per session once real-time intervention was added.</w:t>
      </w:r>
    </w:p>
    <w:p>
      <w:pPr>
        <w:keepNext/>
        <w:spacing w:after="60" w:before="240"/>
      </w:pPr>
      <w:r>
        <w:rPr>
          <w:b/>
          <w:bCs/>
          <w:color w:val="1A1A1A"/>
          <w:sz w:val="23"/>
          <w:szCs w:val="23"/>
        </w:rPr>
        <w:t xml:space="preserve">Automatic focus-shift on prolonged struggle</w:t>
      </w:r>
      <w:r>
        <w:rPr>
          <w:b/>
          <w:bCs/>
          <w:color w:val="B45309"/>
          <w:sz w:val="18"/>
          <w:szCs w:val="18"/>
        </w:rPr>
        <w:t xml:space="preserve">   ·   Effort: Medium build</w:t>
      </w:r>
    </w:p>
    <w:p>
      <w:pPr>
        <w:spacing w:after="110"/>
      </w:pPr>
      <w:r>
        <w:rPr>
          <w:color w:val="262626"/>
          <w:sz w:val="21"/>
          <w:szCs w:val="21"/>
        </w:rPr>
        <w:t xml:space="preserve">When time-on-question crosses a topic-calibrated threshold with no progress (repeated wrong attempts, no answer change, or an idle gap), the tutor doesn’t just keep waiting — it offers a soft interrupt: a hint, a related-but-easier warm-up question, or a short switch to a different topic/subject, with an easy “back to where I was” return. This is the concrete build of the exact behaviour described in the brief: “if a user stays longer on a question, shift to a different topic to maintain focus.”</w:t>
      </w:r>
    </w:p>
    <w:p>
      <w:pPr>
        <w:keepNext/>
        <w:spacing w:after="60" w:before="240"/>
      </w:pPr>
      <w:r>
        <w:rPr>
          <w:b/>
          <w:bCs/>
          <w:color w:val="1A1A1A"/>
          <w:sz w:val="23"/>
          <w:szCs w:val="23"/>
        </w:rPr>
        <w:t xml:space="preserve">“Confusion-rescue” conversational pattern</w:t>
      </w:r>
      <w:r>
        <w:rPr>
          <w:b/>
          <w:bCs/>
          <w:color w:val="1E7E34"/>
          <w:sz w:val="18"/>
          <w:szCs w:val="18"/>
        </w:rPr>
        <w:t xml:space="preserve">   ·   Effort: Quick win — reuses the tutor LLM</w:t>
      </w:r>
    </w:p>
    <w:p>
      <w:pPr>
        <w:spacing w:after="110"/>
      </w:pPr>
      <w:r>
        <w:rPr>
          <w:color w:val="262626"/>
          <w:sz w:val="21"/>
          <w:szCs w:val="21"/>
        </w:rPr>
        <w:t xml:space="preserve">A dedicated response mode fires when the conversational tutor detects frustration signals (repeated “I don’t know”, terse or annoyed phrasing, or the same question re-asked). Instead of pushing harder, it pauses, acknowledges the difficulty in plain language, drops the difficulty one notch, and offers a reset — a pattern already validated in production AI-tutoring builds.</w:t>
      </w:r>
    </w:p>
    <w:p>
      <w:pPr>
        <w:keepNext/>
        <w:spacing w:after="60" w:before="240"/>
      </w:pPr>
      <w:r>
        <w:rPr>
          <w:b/>
          <w:bCs/>
          <w:color w:val="1A1A1A"/>
          <w:sz w:val="23"/>
          <w:szCs w:val="23"/>
        </w:rPr>
        <w:t xml:space="preserve">Surprise diagnostic micro-quizzes</w:t>
      </w:r>
      <w:r>
        <w:rPr>
          <w:b/>
          <w:bCs/>
          <w:color w:val="1E7E34"/>
          <w:sz w:val="18"/>
          <w:szCs w:val="18"/>
        </w:rPr>
        <w:t xml:space="preserve">   ·   Effort: Quick win</w:t>
      </w:r>
    </w:p>
    <w:p>
      <w:pPr>
        <w:spacing w:after="110"/>
      </w:pPr>
      <w:r>
        <w:rPr>
          <w:color w:val="262626"/>
          <w:sz w:val="21"/>
          <w:szCs w:val="21"/>
        </w:rPr>
        <w:t xml:space="preserve">Short, unannounced 2–3 question pop quizzes — pulled from topics the student hasn’t touched recently or has marked “secure” — surface periodically during a session or the following day. They exist purely to check the system’s belief about what the student knows is still accurate, catching both false confidence (marked secure but actually shaky) and hidden gaps (never surfaced because the student always avoids that topic). This is the direct build of the “surprise quizzes that tell the system where the student is standing” idea in the brief.</w:t>
      </w:r>
    </w:p>
    <w:p>
      <w:pPr>
        <w:keepNext/>
        <w:spacing w:after="60" w:before="240"/>
      </w:pPr>
      <w:r>
        <w:rPr>
          <w:b/>
          <w:bCs/>
          <w:color w:val="1A1A1A"/>
          <w:sz w:val="23"/>
          <w:szCs w:val="23"/>
        </w:rPr>
        <w:t xml:space="preserve">Optional webcam / biometric affect sensing</w:t>
      </w:r>
      <w:r>
        <w:rPr>
          <w:b/>
          <w:bCs/>
          <w:color w:val="B91C1C"/>
          <w:sz w:val="18"/>
          <w:szCs w:val="18"/>
        </w:rPr>
        <w:t xml:space="preserve">   ·   Effort: Bigger project — recommend excluding for now</w:t>
      </w:r>
    </w:p>
    <w:p>
      <w:pPr>
        <w:spacing w:after="110"/>
      </w:pPr>
      <w:r>
        <w:rPr>
          <w:color w:val="262626"/>
          <w:sz w:val="21"/>
          <w:szCs w:val="21"/>
        </w:rPr>
        <w:t xml:space="preserve">Research on facial-expression and physiological (heart-rate) affect detection for online learners exists and is technically real, but for a platform whose users are predominantly under 18 in the UK, this raises Age Appropriate Design Code and parental-trust issues that outweigh the marginal accuracy gain over behavioural telemetry alone (see Section 6). Recommendation: build the behavioural-only version above; keep this as a labelled, explicitly-declined option in the roadmap rather than a silent gap.</w:t>
      </w:r>
    </w:p>
    <w:p>
      <w:pPr>
        <w:spacing w:after="80"/>
      </w:pPr>
    </w:p>
    <w:p>
      <w:pPr>
        <w:pStyle w:val="Heading2"/>
        <w:spacing w:after="120" w:before="300"/>
      </w:pPr>
      <w:r>
        <w:rPr>
          <w:b/>
          <w:bCs/>
          <w:color w:val="1F3864"/>
          <w:sz w:val="25"/>
          <w:szCs w:val="25"/>
        </w:rPr>
        <w:t xml:space="preserve">4.2  Adaptive Mastery &amp; Pedagogy Engine</w:t>
      </w:r>
    </w:p>
    <w:p>
      <w:pPr>
        <w:spacing w:after="110"/>
      </w:pPr>
      <w:r>
        <w:rPr>
          <w:color w:val="262626"/>
          <w:sz w:val="21"/>
          <w:szCs w:val="21"/>
        </w:rPr>
        <w:t xml:space="preserve">This is the “brain” that decides, moment to moment, what the student should see next — and it’s what turns the flagship AI-question-generation engine from a random question dispenser into something that actually targets weaknesses.</w:t>
      </w:r>
    </w:p>
    <w:p>
      <w:pPr>
        <w:keepNext/>
        <w:spacing w:after="60" w:before="240"/>
      </w:pPr>
      <w:r>
        <w:rPr>
          <w:b/>
          <w:bCs/>
          <w:color w:val="1A1A1A"/>
          <w:sz w:val="23"/>
          <w:szCs w:val="23"/>
        </w:rPr>
        <w:t xml:space="preserve">Knowledge tracing — start simple, grow into it</w:t>
      </w:r>
      <w:r>
        <w:rPr>
          <w:b/>
          <w:bCs/>
          <w:color w:val="B45309"/>
          <w:sz w:val="18"/>
          <w:szCs w:val="18"/>
        </w:rPr>
        <w:t xml:space="preserve">   ·   Effort: Medium build, phased</w:t>
      </w:r>
    </w:p>
    <w:p>
      <w:pPr>
        <w:spacing w:after="110"/>
      </w:pPr>
      <w:r>
        <w:rPr>
          <w:color w:val="262626"/>
          <w:sz w:val="21"/>
          <w:szCs w:val="21"/>
        </w:rPr>
        <w:t xml:space="preserve">A per-topic mastery estimate (0–100%) for every student, updated after each question. Start with Bayesian Knowledge Tracing (BKT) — a well-understood, interpretable model that needs only ~50 responses per topic to become useful, which fits a pilot with one or two subjects. Once volume passes roughly 50,000 interactions, graduate high-traffic topics to Deep Knowledge Tracing (DKT), a neural model that captures cross-topic transfer (e.g. recognising that a Physics “rates of change” weakness is really an unresolved Maths differentiation gap).</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This BKT-then-DKT graduation path is the explicit recommendation in the 2026 Fora Soft AI-tutoring architecture playbook and mirrors the “knowledge-point graph” approach behind Squirrel AI’s large-scale deployments.</w:t>
      </w:r>
    </w:p>
    <w:p>
      <w:pPr>
        <w:keepNext/>
        <w:spacing w:after="60" w:before="240"/>
      </w:pPr>
      <w:r>
        <w:rPr>
          <w:b/>
          <w:bCs/>
          <w:color w:val="1A1A1A"/>
          <w:sz w:val="23"/>
          <w:szCs w:val="23"/>
        </w:rPr>
        <w:t xml:space="preserve">Item Response Theory for placement &amp; adaptive baseline testing</w:t>
      </w:r>
      <w:r>
        <w:rPr>
          <w:b/>
          <w:bCs/>
          <w:color w:val="B45309"/>
          <w:sz w:val="18"/>
          <w:szCs w:val="18"/>
        </w:rPr>
        <w:t xml:space="preserve">   ·   Effort: Medium build</w:t>
      </w:r>
    </w:p>
    <w:p>
      <w:pPr>
        <w:spacing w:after="110"/>
      </w:pPr>
      <w:r>
        <w:rPr>
          <w:color w:val="262626"/>
          <w:sz w:val="21"/>
          <w:szCs w:val="21"/>
        </w:rPr>
        <w:t xml:space="preserve">IRT estimates a student’s underlying ability on a topic from relatively few questions by weighting each question’s difficulty and discrimination power, rather than simple percent-correct. This is the right engine for the free adaptive diagnostic/baseline test already proposed in the brief (“a genuinely useful free tier/diagnostic”), and for the exam-board-aware placement step at signup (which year group / tier a family should start on).</w:t>
      </w:r>
    </w:p>
    <w:p>
      <w:pPr>
        <w:keepNext/>
        <w:spacing w:after="60" w:before="240"/>
      </w:pPr>
      <w:r>
        <w:rPr>
          <w:b/>
          <w:bCs/>
          <w:color w:val="1A1A1A"/>
          <w:sz w:val="23"/>
          <w:szCs w:val="23"/>
        </w:rPr>
        <w:t xml:space="preserve">Pedagogical strategy controller</w:t>
      </w:r>
      <w:r>
        <w:rPr>
          <w:b/>
          <w:bCs/>
          <w:color w:val="B91C1C"/>
          <w:sz w:val="18"/>
          <w:szCs w:val="18"/>
        </w:rPr>
        <w:t xml:space="preserve">   ·   Effort: Bigger project — the core integration layer</w:t>
      </w:r>
    </w:p>
    <w:p>
      <w:pPr>
        <w:spacing w:after="110"/>
      </w:pPr>
      <w:r>
        <w:rPr>
          <w:color w:val="262626"/>
          <w:sz w:val="21"/>
          <w:szCs w:val="21"/>
        </w:rPr>
        <w:t xml:space="preserve">A rules layer that sits between the mastery model and the AI tutor and selects a teaching approach based on the current mastery posterior for the topic in play, rather than one fixed prompt style for every student:</w:t>
      </w:r>
    </w:p>
    <w:p>
      <w:pPr>
        <w:pStyle w:val="ListParagraph"/>
        <w:numPr>
          <w:ilvl w:val="0"/>
          <w:numId w:val="2"/>
        </w:numPr>
        <w:spacing w:after="60"/>
      </w:pPr>
      <w:r>
        <w:rPr>
          <w:color w:val="262626"/>
          <w:sz w:val="21"/>
          <w:szCs w:val="21"/>
        </w:rPr>
        <w:t xml:space="preserve">Below ~30% mastery: direct instruction — teach the concept with a full worked example before questioning.</w:t>
      </w:r>
    </w:p>
    <w:p>
      <w:pPr>
        <w:pStyle w:val="ListParagraph"/>
        <w:numPr>
          <w:ilvl w:val="0"/>
          <w:numId w:val="2"/>
        </w:numPr>
        <w:spacing w:after="60"/>
      </w:pPr>
      <w:r>
        <w:rPr>
          <w:color w:val="262626"/>
          <w:sz w:val="21"/>
          <w:szCs w:val="21"/>
        </w:rPr>
        <w:t xml:space="preserve">~30–60% mastery: worked-example fading — a partially completed solution the student finishes.</w:t>
      </w:r>
    </w:p>
    <w:p>
      <w:pPr>
        <w:pStyle w:val="ListParagraph"/>
        <w:numPr>
          <w:ilvl w:val="0"/>
          <w:numId w:val="2"/>
        </w:numPr>
        <w:spacing w:after="60"/>
      </w:pPr>
      <w:r>
        <w:rPr>
          <w:color w:val="262626"/>
          <w:sz w:val="21"/>
          <w:szCs w:val="21"/>
        </w:rPr>
        <w:t xml:space="preserve">Above ~60% mastery: full Socratic questioning on fresh AI-generated questions, no scaffolding.</w:t>
      </w:r>
    </w:p>
    <w:p>
      <w:pPr>
        <w:pStyle w:val="ListParagraph"/>
        <w:numPr>
          <w:ilvl w:val="0"/>
          <w:numId w:val="2"/>
        </w:numPr>
        <w:spacing w:after="60"/>
      </w:pPr>
      <w:r>
        <w:rPr>
          <w:color w:val="262626"/>
          <w:sz w:val="21"/>
          <w:szCs w:val="21"/>
        </w:rPr>
        <w:t xml:space="preserve">Previously-mastered topics: spaced retrieval — resurfaced on a schedule to prevent forgetting, feeding into 4.2’s spaced-repetition item below.</w:t>
      </w:r>
    </w:p>
    <w:p>
      <w:pPr>
        <w:pBdr>
          <w:top w:val="single" w:color="1F3864" w:sz="4" w:space="4"/>
          <w:bottom w:val="single" w:color="1F3864" w:sz="4" w:space="4"/>
          <w:left w:val="single" w:color="1F3864" w:sz="4" w:space="4"/>
          <w:right w:val="single" w:color="1F3864" w:sz="4" w:space="4"/>
        </w:pBdr>
        <w:shd w:fill="EEF3F7" w:val="clear"/>
        <w:spacing w:after="220" w:before="100"/>
        <w:ind w:left="144" w:right="144"/>
      </w:pPr>
      <w:r>
        <w:rPr>
          <w:b/>
          <w:bCs/>
          <w:color w:val="1F3864"/>
          <w:sz w:val="20"/>
          <w:szCs w:val="20"/>
        </w:rPr>
        <w:t xml:space="preserve">Build note: </w:t>
      </w:r>
      <w:r>
        <w:rPr>
          <w:color w:val="262626"/>
          <w:sz w:val="20"/>
          <w:szCs w:val="20"/>
        </w:rPr>
        <w:t xml:space="preserve">This controller is what makes the flagship AI-question-generation engine adaptive rather than just infinite. It should be scoped alongside that engine, not after it — the question-generation prompts already need “grade-targeted stretch practice” logic per the brief, and the mastery posterior is exactly the input that logic needs.</w:t>
      </w:r>
    </w:p>
    <w:p>
      <w:pPr>
        <w:keepNext/>
        <w:spacing w:after="60" w:before="240"/>
      </w:pPr>
      <w:r>
        <w:rPr>
          <w:b/>
          <w:bCs/>
          <w:color w:val="1A1A1A"/>
          <w:sz w:val="23"/>
          <w:szCs w:val="23"/>
        </w:rPr>
        <w:t xml:space="preserve">Modern spaced-repetition scheduling (FSRS)</w:t>
      </w:r>
      <w:r>
        <w:rPr>
          <w:b/>
          <w:bCs/>
          <w:color w:val="1E7E34"/>
          <w:sz w:val="18"/>
          <w:szCs w:val="18"/>
        </w:rPr>
        <w:t xml:space="preserve">   ·   Effort: Quick win to medium</w:t>
      </w:r>
    </w:p>
    <w:p>
      <w:pPr>
        <w:spacing w:after="110"/>
      </w:pPr>
      <w:r>
        <w:rPr>
          <w:color w:val="262626"/>
          <w:sz w:val="21"/>
          <w:szCs w:val="21"/>
        </w:rPr>
        <w:t xml:space="preserve">The brief already proposes spaced repetition of missed topics. Recommend using FSRS (Free Spaced Repetition Scheduler) rather than the older SM-2 algorithm most flashcard apps still use — FSRS models each student’s individual forgetting curve from their own review history rather than a fixed interval table, and is the current state of the art for retention scheduling in 2026. It plugs directly into the flashcard/quiz-bank features already scoped in Part 2 of the brief.</w:t>
      </w:r>
    </w:p>
    <w:p>
      <w:pPr>
        <w:keepNext/>
        <w:spacing w:after="60" w:before="240"/>
      </w:pPr>
      <w:r>
        <w:rPr>
          <w:b/>
          <w:bCs/>
          <w:color w:val="1A1A1A"/>
          <w:sz w:val="23"/>
          <w:szCs w:val="23"/>
        </w:rPr>
        <w:t xml:space="preserve">Confidence calibration prompts</w:t>
      </w:r>
      <w:r>
        <w:rPr>
          <w:b/>
          <w:bCs/>
          <w:color w:val="1E7E34"/>
          <w:sz w:val="18"/>
          <w:szCs w:val="18"/>
        </w:rPr>
        <w:t xml:space="preserve">   ·   Effort: Quick win</w:t>
      </w:r>
    </w:p>
    <w:p>
      <w:pPr>
        <w:spacing w:after="110"/>
      </w:pPr>
      <w:r>
        <w:rPr>
          <w:color w:val="262626"/>
          <w:sz w:val="21"/>
          <w:szCs w:val="21"/>
        </w:rPr>
        <w:t xml:space="preserve">Before revealing whether an answer was right, briefly ask “how confident are you?” (low/medium/high). Comparing stated confidence against actual accuracy surfaces two distinct problem patterns a raw score can’t: overconfidence (marking things right in their head that are actually wrong — the most dangerous pattern going into a real exam) and underconfidence (getting things right but not trusting themselves, worth flagging for parents differently to a genuine knowledge gap). Cheap to add once the marking pipeline exists, and it’s a very “AI tutor” touch that a plain quiz engine doesn’t have.</w:t>
      </w:r>
    </w:p>
    <w:p>
      <w:pPr>
        <w:spacing w:after="80"/>
      </w:pPr>
    </w:p>
    <w:p>
      <w:pPr>
        <w:pStyle w:val="Heading2"/>
        <w:spacing w:after="120" w:before="300"/>
      </w:pPr>
      <w:r>
        <w:rPr>
          <w:b/>
          <w:bCs/>
          <w:color w:val="1F3864"/>
          <w:sz w:val="25"/>
          <w:szCs w:val="25"/>
        </w:rPr>
        <w:t xml:space="preserve">4.3  Conversational &amp; Voice AI Tutor</w:t>
      </w:r>
    </w:p>
    <w:p>
      <w:pPr>
        <w:spacing w:after="110"/>
      </w:pPr>
      <w:r>
        <w:rPr>
          <w:color w:val="262626"/>
          <w:sz w:val="21"/>
          <w:szCs w:val="21"/>
        </w:rPr>
        <w:t xml:space="preserve">The brief already proposes “explain-back / Socratic feedback” as a smaller improvement. These items give it a concrete shape and extend it into voice, which matters more than it might first appear for two of the named subjects.</w:t>
      </w:r>
    </w:p>
    <w:p>
      <w:pPr>
        <w:keepNext/>
        <w:spacing w:after="60" w:before="240"/>
      </w:pPr>
      <w:r>
        <w:rPr>
          <w:b/>
          <w:bCs/>
          <w:color w:val="1A1A1A"/>
          <w:sz w:val="23"/>
          <w:szCs w:val="23"/>
        </w:rPr>
        <w:t xml:space="preserve">Socratic explain-back dialogue</w:t>
      </w:r>
      <w:r>
        <w:rPr>
          <w:b/>
          <w:bCs/>
          <w:color w:val="B45309"/>
          <w:sz w:val="18"/>
          <w:szCs w:val="18"/>
        </w:rPr>
        <w:t xml:space="preserve">   ·   Effort: Medium build — extends an item already in the brief</w:t>
      </w:r>
    </w:p>
    <w:p>
      <w:pPr>
        <w:spacing w:after="110"/>
      </w:pPr>
      <w:r>
        <w:rPr>
          <w:color w:val="262626"/>
          <w:sz w:val="21"/>
          <w:szCs w:val="21"/>
        </w:rPr>
        <w:t xml:space="preserve">Rather than only marking right/wrong with a model answer, the tutor asks the student to explain their reasoning first (“talk me through how you got there”), then gives targeted hints before revealing the answer — the same discipline Khanmigo is built around. The key addition here is tying it to the pedagogical strategy controller in 4.2, so the hint ladder is calibrated to that student’s mastery level rather than generic.</w:t>
      </w:r>
    </w:p>
    <w:p>
      <w:pPr>
        <w:keepNext/>
        <w:spacing w:after="60" w:before="240"/>
      </w:pPr>
      <w:r>
        <w:rPr>
          <w:b/>
          <w:bCs/>
          <w:color w:val="1A1A1A"/>
          <w:sz w:val="23"/>
          <w:szCs w:val="23"/>
        </w:rPr>
        <w:t xml:space="preserve">Voice / oral practice mode</w:t>
      </w:r>
      <w:r>
        <w:rPr>
          <w:b/>
          <w:bCs/>
          <w:color w:val="B91C1C"/>
          <w:sz w:val="18"/>
          <w:szCs w:val="18"/>
        </w:rPr>
        <w:t xml:space="preserve">   ·   Effort: Bigger project — high value for English specifically</w:t>
      </w:r>
    </w:p>
    <w:p>
      <w:pPr>
        <w:spacing w:after="110"/>
      </w:pPr>
      <w:r>
        <w:rPr>
          <w:color w:val="262626"/>
          <w:sz w:val="21"/>
          <w:szCs w:val="21"/>
        </w:rPr>
        <w:t xml:space="preserve">A spoken-dialogue mode using speech-to-text and text-to-speech around the same tutor LLM. Two distinct uses: (1) general revision — a student can talk through a topic hands-free, useful for reducing screen fatigue during long revision sessions; (2) English Language/Literature specifically — verbal discussion and “explain the writer’s intent” practice mirrors how English is actually examined and taught, and is the pattern behind Third Space Learning’s Skye product (audio-based, verbal-reasoning-first tutoring, not just answer-checking).</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Third Space Learning’s Skye deliberately emphasises “verbal reasoning rather than answer-checking” through shared-screen, audio-based sessions, and reports strong completion/outcome data with that model.</w:t>
      </w:r>
    </w:p>
    <w:p>
      <w:pPr>
        <w:keepNext/>
        <w:spacing w:after="60" w:before="240"/>
      </w:pPr>
      <w:r>
        <w:rPr>
          <w:b/>
          <w:bCs/>
          <w:color w:val="1A1A1A"/>
          <w:sz w:val="23"/>
          <w:szCs w:val="23"/>
        </w:rPr>
        <w:t xml:space="preserve">Tone modulation without biometric sensing</w:t>
      </w:r>
      <w:r>
        <w:rPr>
          <w:b/>
          <w:bCs/>
          <w:color w:val="B45309"/>
          <w:sz w:val="18"/>
          <w:szCs w:val="18"/>
        </w:rPr>
        <w:t xml:space="preserve">   ·   Effort: Medium build</w:t>
      </w:r>
    </w:p>
    <w:p>
      <w:pPr>
        <w:spacing w:after="110"/>
      </w:pPr>
      <w:r>
        <w:rPr>
          <w:color w:val="262626"/>
          <w:sz w:val="21"/>
          <w:szCs w:val="21"/>
        </w:rPr>
        <w:t xml:space="preserve">The tutor’s language register adapts to detected frustration or boredom using text-based signals only (sentiment analysis on typed responses, response latency, repeat-help-seeking) — e.g. shorter, warmer, more encouraging phrasing when frustration is detected; more challenge and less hand-holding when a student is coasting. This captures most of the benefit of “emotionally intelligent” tutoring research without the camera/consent overhead of full affective computing.</w:t>
      </w:r>
    </w:p>
    <w:p>
      <w:pPr>
        <w:keepNext/>
        <w:spacing w:after="60" w:before="240"/>
      </w:pPr>
      <w:r>
        <w:rPr>
          <w:b/>
          <w:bCs/>
          <w:color w:val="1A1A1A"/>
          <w:sz w:val="23"/>
          <w:szCs w:val="23"/>
        </w:rPr>
        <w:t xml:space="preserve">Age-band tutor personas</w:t>
      </w:r>
      <w:r>
        <w:rPr>
          <w:b/>
          <w:bCs/>
          <w:color w:val="1E7E34"/>
          <w:sz w:val="18"/>
          <w:szCs w:val="18"/>
        </w:rPr>
        <w:t xml:space="preserve">   ·   Effort: Quick win</w:t>
      </w:r>
    </w:p>
    <w:p>
      <w:pPr>
        <w:spacing w:after="110"/>
      </w:pPr>
      <w:r>
        <w:rPr>
          <w:color w:val="262626"/>
          <w:sz w:val="21"/>
          <w:szCs w:val="21"/>
        </w:rPr>
        <w:t xml:space="preserve">The same underlying tutor engine, but tone and visual companion differ by stage — playful and encouragement-heavy for 7–11+ years, straightforward and exam-focused for GCSE/iGCSE, and closer to a study-partner register for A Level students who are closer to independent adult learners. Pairs naturally with the “distinct visual identity by age tier” idea already in the brief’s design section.</w:t>
      </w:r>
    </w:p>
    <w:p>
      <w:pPr>
        <w:spacing w:after="80"/>
      </w:pPr>
    </w:p>
    <w:p>
      <w:pPr>
        <w:pStyle w:val="Heading2"/>
        <w:spacing w:after="120" w:before="300"/>
      </w:pPr>
      <w:r>
        <w:rPr>
          <w:b/>
          <w:bCs/>
          <w:color w:val="1F3864"/>
          <w:sz w:val="25"/>
          <w:szCs w:val="25"/>
        </w:rPr>
        <w:t xml:space="preserve">4.4  Assessment &amp; Marking Intelligence</w:t>
      </w:r>
    </w:p>
    <w:p>
      <w:pPr>
        <w:spacing w:after="110"/>
      </w:pPr>
      <w:r>
        <w:rPr>
          <w:color w:val="262626"/>
          <w:sz w:val="21"/>
          <w:szCs w:val="21"/>
        </w:rPr>
        <w:t xml:space="preserve">The brief already flags that A-Level marking (“longer-form written answers, mathematical derivations”) is a distinct technical workstream from GCSE/11+ instant marking, and asks for a marking-engine review. Recent research gives a concrete, realistic shape for that workstream.</w:t>
      </w:r>
    </w:p>
    <w:p>
      <w:pPr>
        <w:keepNext/>
        <w:spacing w:after="60" w:before="240"/>
      </w:pPr>
      <w:r>
        <w:rPr>
          <w:b/>
          <w:bCs/>
          <w:color w:val="1A1A1A"/>
          <w:sz w:val="23"/>
          <w:szCs w:val="23"/>
        </w:rPr>
        <w:t xml:space="preserve">Tiered marking engine</w:t>
      </w:r>
      <w:r>
        <w:rPr>
          <w:b/>
          <w:bCs/>
          <w:color w:val="1E7E34"/>
          <w:sz w:val="18"/>
          <w:szCs w:val="18"/>
        </w:rPr>
        <w:t xml:space="preserve">   ·   Effort: Bigger project for the long-form tier — objective-answer tier is a quick win</w:t>
      </w:r>
    </w:p>
    <w:p>
      <w:pPr>
        <w:spacing w:after="110"/>
      </w:pPr>
      <w:r>
        <w:rPr>
          <w:color w:val="262626"/>
          <w:sz w:val="21"/>
          <w:szCs w:val="21"/>
        </w:rPr>
        <w:t xml:space="preserve">Two genuinely different marking problems, not one engine with a difficulty slider:</w:t>
      </w:r>
    </w:p>
    <w:p>
      <w:pPr>
        <w:pStyle w:val="ListParagraph"/>
        <w:numPr>
          <w:ilvl w:val="0"/>
          <w:numId w:val="2"/>
        </w:numPr>
        <w:spacing w:after="60"/>
      </w:pPr>
      <w:r>
        <w:rPr>
          <w:color w:val="262626"/>
          <w:sz w:val="21"/>
          <w:szCs w:val="21"/>
        </w:rPr>
        <w:t xml:space="preserve">Objective / short-answer (multiple choice, single value, short calculation): automatic, instant, high-confidence — this is what the brief already scopes for GCSE/11+ and it stays largely unchanged.</w:t>
      </w:r>
    </w:p>
    <w:p>
      <w:pPr>
        <w:pStyle w:val="ListParagraph"/>
        <w:numPr>
          <w:ilvl w:val="0"/>
          <w:numId w:val="2"/>
        </w:numPr>
        <w:spacing w:after="60"/>
      </w:pPr>
      <w:r>
        <w:rPr>
          <w:color w:val="262626"/>
          <w:sz w:val="21"/>
          <w:szCs w:val="21"/>
        </w:rPr>
        <w:t xml:space="preserve">Long-form / derivation-style (A-Level maths workings, physics derivations, extended written reasoning): position AI as a second reader / audit tool alongside human or senior-tutor spot-checking at launch, not a fully autonomous marker.</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A 2026 large-scale study using GPT-5.5-class multimodal models to grade handwritten physics exams found strong aggregate accuracy (score correlations of 0.91–0.97 against human graders) but persistent systematic over-scoring (+2.2% to +9.3% of maximum marks) and only 63–70% exact agreement on individual question parts — rising to just 32.8% exact agreement specifically on partial-credit responses. The authors’ own conclusion: AI should act as “a second reader or audit tool under examiner control”, not a sole marker, for exactly this style of answer.</w:t>
      </w:r>
    </w:p>
    <w:p>
      <w:pPr>
        <w:pBdr>
          <w:top w:val="single" w:color="1F3864" w:sz="4" w:space="4"/>
          <w:bottom w:val="single" w:color="1F3864" w:sz="4" w:space="4"/>
          <w:left w:val="single" w:color="1F3864" w:sz="4" w:space="4"/>
          <w:right w:val="single" w:color="1F3864" w:sz="4" w:space="4"/>
        </w:pBdr>
        <w:shd w:fill="EEF3F7" w:val="clear"/>
        <w:spacing w:after="220" w:before="100"/>
        <w:ind w:left="144" w:right="144"/>
      </w:pPr>
      <w:r>
        <w:rPr>
          <w:b/>
          <w:bCs/>
          <w:color w:val="1F3864"/>
          <w:sz w:val="20"/>
          <w:szCs w:val="20"/>
        </w:rPr>
        <w:t xml:space="preserve">Build note: </w:t>
      </w:r>
      <w:r>
        <w:rPr>
          <w:color w:val="262626"/>
          <w:sz w:val="20"/>
          <w:szCs w:val="20"/>
        </w:rPr>
        <w:t xml:space="preserve">This is the same caution the client’s own brief raises independently (“flag this to your developer as a distinct technical workstream, not a copy-paste of the GCSE marking logic”) — the research above gives concrete numbers to plan the human-review threshold and QA sampling rate around, rather than guessing at launch.</w:t>
      </w:r>
    </w:p>
    <w:p>
      <w:pPr>
        <w:keepNext/>
        <w:spacing w:after="60" w:before="240"/>
      </w:pPr>
      <w:r>
        <w:rPr>
          <w:b/>
          <w:bCs/>
          <w:color w:val="1A1A1A"/>
          <w:sz w:val="23"/>
          <w:szCs w:val="23"/>
        </w:rPr>
        <w:t xml:space="preserve">Handwriting / photo-of-working AI marking</w:t>
      </w:r>
      <w:r>
        <w:rPr>
          <w:b/>
          <w:bCs/>
          <w:color w:val="B91C1C"/>
          <w:sz w:val="18"/>
          <w:szCs w:val="18"/>
        </w:rPr>
        <w:t xml:space="preserve">   ·   Effort: Medium to bigger build</w:t>
      </w:r>
    </w:p>
    <w:p>
      <w:pPr>
        <w:spacing w:after="110"/>
      </w:pPr>
      <w:r>
        <w:rPr>
          <w:color w:val="262626"/>
          <w:sz w:val="21"/>
          <w:szCs w:val="21"/>
        </w:rPr>
        <w:t xml:space="preserve">Vision-capable models can now read handwritten working directly (no separate OCR step) and mark it against a structured rubric — directly useful for Maths and Physics workings, and for “paper (printable) tests” already scoped in the brief, letting a student photograph offline/exam-condition practice and get it marked like any online question.</w:t>
      </w:r>
    </w:p>
    <w:p>
      <w:pPr>
        <w:keepNext/>
        <w:spacing w:after="60" w:before="240"/>
      </w:pPr>
      <w:r>
        <w:rPr>
          <w:b/>
          <w:bCs/>
          <w:color w:val="1A1A1A"/>
          <w:sz w:val="23"/>
          <w:szCs w:val="23"/>
        </w:rPr>
        <w:t xml:space="preserve">Predictive exam-readiness / grade forecasting</w:t>
      </w:r>
      <w:r>
        <w:rPr>
          <w:b/>
          <w:bCs/>
          <w:color w:val="B45309"/>
          <w:sz w:val="18"/>
          <w:szCs w:val="18"/>
        </w:rPr>
        <w:t xml:space="preserve">   ·   Effort: Medium build</w:t>
      </w:r>
    </w:p>
    <w:p>
      <w:pPr>
        <w:spacing w:after="110"/>
      </w:pPr>
      <w:r>
        <w:rPr>
          <w:color w:val="262626"/>
          <w:sz w:val="21"/>
          <w:szCs w:val="21"/>
        </w:rPr>
        <w:t xml:space="preserve">Combining the topic-level mastery posterior (4.2) with IRT ability estimates produces a live predicted-grade band per subject, shown with an honest confidence interval rather than a single number — directly supporting the brief’s own “Trust &amp; Credibility” goal of publishing transparent, methodology-explained outcome statistics instead of one headline percentage.</w:t>
      </w:r>
    </w:p>
    <w:p>
      <w:pPr>
        <w:spacing w:after="80"/>
      </w:pPr>
    </w:p>
    <w:p>
      <w:pPr>
        <w:pStyle w:val="Heading2"/>
        <w:spacing w:after="120" w:before="300"/>
      </w:pPr>
      <w:r>
        <w:rPr>
          <w:b/>
          <w:bCs/>
          <w:color w:val="1F3864"/>
          <w:sz w:val="25"/>
          <w:szCs w:val="25"/>
        </w:rPr>
        <w:t xml:space="preserve">4.5  Insight &amp; Communication Layer</w:t>
      </w:r>
    </w:p>
    <w:p>
      <w:pPr>
        <w:spacing w:after="110"/>
      </w:pPr>
      <w:r>
        <w:rPr>
          <w:color w:val="262626"/>
          <w:sz w:val="21"/>
          <w:szCs w:val="21"/>
        </w:rPr>
        <w:t xml:space="preserve">The brief already proposes “parent-side transparency: show parents the specific misconception behind each wrong answer, in plain English.” These items build that out into something a parent will actually read and value.</w:t>
      </w:r>
    </w:p>
    <w:p>
      <w:pPr>
        <w:keepNext/>
        <w:spacing w:after="60" w:before="240"/>
      </w:pPr>
      <w:r>
        <w:rPr>
          <w:b/>
          <w:bCs/>
          <w:color w:val="1A1A1A"/>
          <w:sz w:val="23"/>
          <w:szCs w:val="23"/>
        </w:rPr>
        <w:t xml:space="preserve">Weekly AI-generated narrative reports</w:t>
      </w:r>
      <w:r>
        <w:rPr>
          <w:b/>
          <w:bCs/>
          <w:color w:val="B45309"/>
          <w:sz w:val="18"/>
          <w:szCs w:val="18"/>
        </w:rPr>
        <w:t xml:space="preserve">   ·   Effort: Medium build</w:t>
      </w:r>
    </w:p>
    <w:p>
      <w:pPr>
        <w:spacing w:after="110"/>
      </w:pPr>
      <w:r>
        <w:rPr>
          <w:color w:val="262626"/>
          <w:sz w:val="21"/>
          <w:szCs w:val="21"/>
        </w:rPr>
        <w:t xml:space="preserve">Instead of only a dashboard of numbers, a short plain-English narrative generated weekly per child: what improved, what’s still shaky and why (the actual misconception, not just “got 6/10”), and what the recommended focus is for next week — one version pitched for parents, a slightly more direct one for the student themselves.</w:t>
      </w:r>
    </w:p>
    <w:p>
      <w:pPr>
        <w:keepNext/>
        <w:spacing w:after="60" w:before="240"/>
      </w:pPr>
      <w:r>
        <w:rPr>
          <w:b/>
          <w:bCs/>
          <w:color w:val="1A1A1A"/>
          <w:sz w:val="23"/>
          <w:szCs w:val="23"/>
        </w:rPr>
        <w:t xml:space="preserve">Cohort / anonymised benchmarking</w:t>
      </w:r>
      <w:r>
        <w:rPr>
          <w:b/>
          <w:bCs/>
          <w:color w:val="B45309"/>
          <w:sz w:val="18"/>
          <w:szCs w:val="18"/>
        </w:rPr>
        <w:t xml:space="preserve">   ·   Effort: Medium build</w:t>
      </w:r>
    </w:p>
    <w:p>
      <w:pPr>
        <w:spacing w:after="110"/>
      </w:pPr>
      <w:r>
        <w:rPr>
          <w:color w:val="262626"/>
          <w:sz w:val="21"/>
          <w:szCs w:val="21"/>
        </w:rPr>
        <w:t xml:space="preserve">Optional, privacy-safe context (“in the top 20% of Year 11 iGCSE Chemistry students on this topic this month”) alongside the individual mastery data — motivating without exposing any other identifiable student, and a good complement to the “average grade improvement” style stat the brief already flags as needing genuine before/after data to be credible.</w:t>
      </w:r>
    </w:p>
    <w:p>
      <w:pPr>
        <w:keepNext/>
        <w:spacing w:after="60" w:before="240"/>
      </w:pPr>
      <w:r>
        <w:rPr>
          <w:b/>
          <w:bCs/>
          <w:color w:val="1A1A1A"/>
          <w:sz w:val="23"/>
          <w:szCs w:val="23"/>
        </w:rPr>
        <w:t xml:space="preserve">Teacher / tutor dashboard</w:t>
      </w:r>
      <w:r>
        <w:rPr>
          <w:b/>
          <w:bCs/>
          <w:color w:val="B45309"/>
          <w:sz w:val="18"/>
          <w:szCs w:val="18"/>
        </w:rPr>
        <w:t xml:space="preserve">   ·   Effort: Medium build — only if the B2B/school channel is pursued</w:t>
      </w:r>
    </w:p>
    <w:p>
      <w:pPr>
        <w:spacing w:after="110"/>
      </w:pPr>
      <w:r>
        <w:rPr>
          <w:color w:val="262626"/>
          <w:sz w:val="21"/>
          <w:szCs w:val="21"/>
        </w:rPr>
        <w:t xml:space="preserve">If the “Atom School”-equivalent B2B channel described in the brief is pursued, a class-level view of the same mastery and engagement data becomes the natural companion product, matching what Khanmigo’s teacher dashboard and Third Space Learning’s school dashboards already do. Flagged as conditional — see Section 8.</w:t>
      </w:r>
    </w:p>
    <w:p>
      <w:pPr>
        <w:spacing w:after="80"/>
      </w:pPr>
    </w:p>
    <w:p>
      <w:pPr>
        <w:pStyle w:val="Heading2"/>
        <w:spacing w:after="120" w:before="300"/>
      </w:pPr>
      <w:r>
        <w:rPr>
          <w:b/>
          <w:bCs/>
          <w:color w:val="1F3864"/>
          <w:sz w:val="25"/>
          <w:szCs w:val="25"/>
        </w:rPr>
        <w:t xml:space="preserve">4.6  Motivation, Accessibility &amp; Trust</w:t>
      </w:r>
    </w:p>
    <w:p>
      <w:pPr>
        <w:spacing w:after="110"/>
      </w:pPr>
      <w:r>
        <w:rPr>
          <w:color w:val="262626"/>
          <w:sz w:val="21"/>
          <w:szCs w:val="21"/>
        </w:rPr>
        <w:t xml:space="preserve">The brief already proposes tasteful gamification (streaks, badges, a skill-tree). These items sharpen it and add two areas the brief doesn’t currently cover.</w:t>
      </w:r>
    </w:p>
    <w:p>
      <w:pPr>
        <w:keepNext/>
        <w:spacing w:after="60" w:before="240"/>
      </w:pPr>
      <w:r>
        <w:rPr>
          <w:b/>
          <w:bCs/>
          <w:color w:val="1A1A1A"/>
          <w:sz w:val="23"/>
          <w:szCs w:val="23"/>
        </w:rPr>
        <w:t xml:space="preserve">Mastery-based gamification</w:t>
      </w:r>
      <w:r>
        <w:rPr>
          <w:b/>
          <w:bCs/>
          <w:color w:val="1E7E34"/>
          <w:sz w:val="18"/>
          <w:szCs w:val="18"/>
        </w:rPr>
        <w:t xml:space="preserve">   ·   Effort: Quick win — but needs a compliance-aware design pass</w:t>
      </w:r>
    </w:p>
    <w:p>
      <w:pPr>
        <w:spacing w:after="110"/>
      </w:pPr>
      <w:r>
        <w:rPr>
          <w:color w:val="262626"/>
          <w:sz w:val="21"/>
          <w:szCs w:val="21"/>
        </w:rPr>
        <w:t xml:space="preserve">Reward genuine mastery progress (a skill-tree lighting up per topic) rather than raw time-on-platform or streak length, which avoids rewarding “grinding” over actual learning. Important constraint: the UK ICO’s Age Appropriate Design Code explicitly prohibits “nudge techniques” that pressure children into providing more data or spending more time/engagement than they’d otherwise choose — so reward design needs a light legal review before launch, particularly for the under-13 (11+) age band. See Section 6.</w:t>
      </w:r>
    </w:p>
    <w:p>
      <w:pPr>
        <w:keepNext/>
        <w:spacing w:after="60" w:before="240"/>
      </w:pPr>
      <w:r>
        <w:rPr>
          <w:b/>
          <w:bCs/>
          <w:color w:val="1A1A1A"/>
          <w:sz w:val="23"/>
          <w:szCs w:val="23"/>
        </w:rPr>
        <w:t xml:space="preserve">SEND / accessibility-aware AI differentiation</w:t>
      </w:r>
      <w:r>
        <w:rPr>
          <w:b/>
          <w:bCs/>
          <w:color w:val="B45309"/>
          <w:sz w:val="18"/>
          <w:szCs w:val="18"/>
        </w:rPr>
        <w:t xml:space="preserve">   ·   Effort: Medium build</w:t>
      </w:r>
    </w:p>
    <w:p>
      <w:pPr>
        <w:spacing w:after="110"/>
      </w:pPr>
      <w:r>
        <w:rPr>
          <w:color w:val="262626"/>
          <w:sz w:val="21"/>
          <w:szCs w:val="21"/>
        </w:rPr>
        <w:t xml:space="preserve">Text-to-speech for question text, a simplified-language toggle that rewords questions without changing the underlying maths/content, extended-time simulation for practice under exam-access-arrangement conditions, and dyslexia-friendly formatting (font, spacing, colour contrast) as a one-tap setting rather than a separate product. This directly supports the “SEN-friendly exam prep” niche the brief itself suggests as a sharper market position than Atom’s broad “7 to GCSE, everyone” framing.</w:t>
      </w:r>
    </w:p>
    <w:p>
      <w:pPr>
        <w:keepNext/>
        <w:spacing w:after="60" w:before="240"/>
      </w:pPr>
      <w:r>
        <w:rPr>
          <w:b/>
          <w:bCs/>
          <w:color w:val="1A1A1A"/>
          <w:sz w:val="23"/>
          <w:szCs w:val="23"/>
        </w:rPr>
        <w:t xml:space="preserve">Safety &amp; moderation guardrails</w:t>
      </w:r>
      <w:r>
        <w:rPr>
          <w:b/>
          <w:bCs/>
          <w:color w:val="1E7E34"/>
          <w:sz w:val="18"/>
          <w:szCs w:val="18"/>
        </w:rPr>
        <w:t xml:space="preserve">   ·   Effort: Must-have, not optional — quick-to-medium build reusing the tutor LLM pipeline</w:t>
      </w:r>
    </w:p>
    <w:p>
      <w:pPr>
        <w:spacing w:after="110"/>
      </w:pPr>
      <w:r>
        <w:rPr>
          <w:color w:val="262626"/>
          <w:sz w:val="21"/>
          <w:szCs w:val="21"/>
        </w:rPr>
        <w:t xml:space="preserve">Given the user base is predominantly under 18, this isn’t a differentiator, it’s table stakes: a secondary monitoring model reviewing tutor conversations in real time, automatic flagging of off-topic or concerning content, refusal to simply do homework verbatim (the brief’s AI engine generates practice, not a homework-answering shortcut), and no personal data shared back into model prompts beyond what’s needed. This is the exact pattern Khanmigo runs in production.</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Khanmigo’s public safety design uses a real-time secondary AI monitoring every conversation, automatic content flagging, and restricted third-party model access to student data — described as deliberately “heavy, and intentionally” layered.</w:t>
      </w:r>
    </w:p>
    <w:p>
      <w:pPr>
        <w:pStyle w:val="Heading1"/>
        <w:pBdr>
          <w:bottom w:val="single" w:color="1F3864" w:sz="8" w:space="4"/>
        </w:pBdr>
        <w:spacing w:after="160" w:before="400"/>
      </w:pPr>
      <w:r>
        <w:rPr>
          <w:b/>
          <w:bCs/>
          <w:color w:val="1F3864"/>
          <w:sz w:val="30"/>
          <w:szCs w:val="30"/>
        </w:rPr>
        <w:t xml:space="preserve">5. Proposed Technical Architecture</w:t>
      </w:r>
    </w:p>
    <w:p>
      <w:pPr>
        <w:spacing w:after="110"/>
      </w:pPr>
      <w:r>
        <w:rPr>
          <w:color w:val="262626"/>
          <w:sz w:val="21"/>
          <w:szCs w:val="21"/>
        </w:rPr>
        <w:t xml:space="preserve">Sketched at a level suitable for scoping discussion, not final design — and deliberately mapped onto a Java/Spring Boot + Oracle/MySQL core, consistent with the stack already in use elsewhere, with focused, isolated services for the genuinely AI-native pieces rather than forcing everything through one stack.</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3864" w:val="clear"/>
            <w:tcMar>
              <w:top w:type="dxa" w:w="80"/>
              <w:left w:type="dxa" w:w="100"/>
              <w:bottom w:type="dxa" w:w="80"/>
              <w:right w:type="dxa" w:w="100"/>
            </w:tcMar>
          </w:tcPr>
          <w:p>
            <w:pPr>
              <w:jc w:val="left"/>
            </w:pPr>
            <w:r>
              <w:rPr>
                <w:b/>
                <w:bCs/>
                <w:color w:val="FFFFFF"/>
                <w:sz w:val="19"/>
                <w:szCs w:val="19"/>
              </w:rPr>
              <w:t xml:space="preserve">Service</w:t>
            </w:r>
          </w:p>
        </w:tc>
        <w:tc>
          <w:tcPr>
            <w:tcW w:type="dxa" w:w="3700"/>
            <w:shd w:fill="1F3864" w:val="clear"/>
            <w:tcMar>
              <w:top w:type="dxa" w:w="80"/>
              <w:left w:type="dxa" w:w="100"/>
              <w:bottom w:type="dxa" w:w="80"/>
              <w:right w:type="dxa" w:w="100"/>
            </w:tcMar>
          </w:tcPr>
          <w:p>
            <w:pPr>
              <w:jc w:val="left"/>
            </w:pPr>
            <w:r>
              <w:rPr>
                <w:b/>
                <w:bCs/>
                <w:color w:val="FFFFFF"/>
                <w:sz w:val="19"/>
                <w:szCs w:val="19"/>
              </w:rPr>
              <w:t xml:space="preserve">Responsibility</w:t>
            </w:r>
          </w:p>
        </w:tc>
        <w:tc>
          <w:tcPr>
            <w:tcW w:type="dxa" w:w="3700"/>
            <w:shd w:fill="1F3864" w:val="clear"/>
            <w:tcMar>
              <w:top w:type="dxa" w:w="80"/>
              <w:left w:type="dxa" w:w="100"/>
              <w:bottom w:type="dxa" w:w="80"/>
              <w:right w:type="dxa" w:w="100"/>
            </w:tcMar>
          </w:tcPr>
          <w:p>
            <w:pPr>
              <w:jc w:val="left"/>
            </w:pPr>
            <w:r>
              <w:rPr>
                <w:b/>
                <w:bCs/>
                <w:color w:val="FFFFFF"/>
                <w:sz w:val="19"/>
                <w:szCs w:val="19"/>
              </w:rPr>
              <w:t xml:space="preserve">Suggested tech</w:t>
            </w:r>
          </w:p>
        </w:tc>
      </w:tr>
      <w:tr>
        <w:tc>
          <w:tcPr>
            <w:tcW w:type="dxa" w:w="2200"/>
            <w:tcMar>
              <w:top w:type="dxa" w:w="80"/>
              <w:left w:type="dxa" w:w="100"/>
              <w:bottom w:type="dxa" w:w="80"/>
              <w:right w:type="dxa" w:w="100"/>
            </w:tcMar>
          </w:tcPr>
          <w:p>
            <w:pPr>
              <w:jc w:val="left"/>
            </w:pPr>
            <w:r>
              <w:rPr>
                <w:b w:val="false"/>
                <w:bCs w:val="false"/>
                <w:color w:val="262626"/>
                <w:sz w:val="19"/>
                <w:szCs w:val="19"/>
              </w:rPr>
              <w:t xml:space="preserve">Core platform API</w:t>
            </w:r>
          </w:p>
        </w:tc>
        <w:tc>
          <w:tcPr>
            <w:tcW w:type="dxa" w:w="3700"/>
            <w:tcMar>
              <w:top w:type="dxa" w:w="80"/>
              <w:left w:type="dxa" w:w="100"/>
              <w:bottom w:type="dxa" w:w="80"/>
              <w:right w:type="dxa" w:w="100"/>
            </w:tcMar>
          </w:tcPr>
          <w:p>
            <w:pPr>
              <w:jc w:val="left"/>
            </w:pPr>
            <w:r>
              <w:rPr>
                <w:b w:val="false"/>
                <w:bCs w:val="false"/>
                <w:color w:val="262626"/>
                <w:sz w:val="19"/>
                <w:szCs w:val="19"/>
              </w:rPr>
              <w:t xml:space="preserve">Accounts, subscriptions, billing, multi-child/parent profiles, content catalogue, pricing rules engine — the “boring but critical” 90% of the brief’s Part 1 spec.</w:t>
            </w:r>
          </w:p>
        </w:tc>
        <w:tc>
          <w:tcPr>
            <w:tcW w:type="dxa" w:w="3700"/>
            <w:tcMar>
              <w:top w:type="dxa" w:w="80"/>
              <w:left w:type="dxa" w:w="100"/>
              <w:bottom w:type="dxa" w:w="80"/>
              <w:right w:type="dxa" w:w="100"/>
            </w:tcMar>
          </w:tcPr>
          <w:p>
            <w:pPr>
              <w:jc w:val="left"/>
            </w:pPr>
            <w:r>
              <w:rPr>
                <w:b w:val="false"/>
                <w:bCs w:val="false"/>
                <w:color w:val="262626"/>
                <w:sz w:val="19"/>
                <w:szCs w:val="19"/>
              </w:rPr>
              <w:t xml:space="preserve">Java / Spring Boot, Oracle or MySQL — matches the existing stack directly.</w:t>
            </w:r>
          </w:p>
        </w:tc>
      </w:tr>
      <w:tr>
        <w:tc>
          <w:tcPr>
            <w:tcW w:type="dxa" w:w="2200"/>
            <w:shd w:fill="F5F7FA" w:val="clear"/>
            <w:tcMar>
              <w:top w:type="dxa" w:w="80"/>
              <w:left w:type="dxa" w:w="100"/>
              <w:bottom w:type="dxa" w:w="80"/>
              <w:right w:type="dxa" w:w="100"/>
            </w:tcMar>
          </w:tcPr>
          <w:p>
            <w:pPr>
              <w:jc w:val="left"/>
            </w:pPr>
            <w:r>
              <w:rPr>
                <w:b w:val="false"/>
                <w:bCs w:val="false"/>
                <w:color w:val="262626"/>
                <w:sz w:val="19"/>
                <w:szCs w:val="19"/>
              </w:rPr>
              <w:t xml:space="preserve">Content &amp; question-generation service</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RAG over past papers/mark schemes; generates topic questions and full mock papers grounded in real exam-board material; Self-RAG-style grounding check to prevent hallucinated questions.</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LLM API (model-agnostic) + vector store (e.g. pgvector) for retrieval, orchestrated from a Java service layer.</w:t>
            </w:r>
          </w:p>
        </w:tc>
      </w:tr>
      <w:tr>
        <w:tc>
          <w:tcPr>
            <w:tcW w:type="dxa" w:w="2200"/>
            <w:tcMar>
              <w:top w:type="dxa" w:w="80"/>
              <w:left w:type="dxa" w:w="100"/>
              <w:bottom w:type="dxa" w:w="80"/>
              <w:right w:type="dxa" w:w="100"/>
            </w:tcMar>
          </w:tcPr>
          <w:p>
            <w:pPr>
              <w:jc w:val="left"/>
            </w:pPr>
            <w:r>
              <w:rPr>
                <w:b w:val="false"/>
                <w:bCs w:val="false"/>
                <w:color w:val="262626"/>
                <w:sz w:val="19"/>
                <w:szCs w:val="19"/>
              </w:rPr>
              <w:t xml:space="preserve">Mastery / knowledge-tracing service</w:t>
            </w:r>
          </w:p>
        </w:tc>
        <w:tc>
          <w:tcPr>
            <w:tcW w:type="dxa" w:w="3700"/>
            <w:tcMar>
              <w:top w:type="dxa" w:w="80"/>
              <w:left w:type="dxa" w:w="100"/>
              <w:bottom w:type="dxa" w:w="80"/>
              <w:right w:type="dxa" w:w="100"/>
            </w:tcMar>
          </w:tcPr>
          <w:p>
            <w:pPr>
              <w:jc w:val="left"/>
            </w:pPr>
            <w:r>
              <w:rPr>
                <w:b w:val="false"/>
                <w:bCs w:val="false"/>
                <w:color w:val="262626"/>
                <w:sz w:val="19"/>
                <w:szCs w:val="19"/>
              </w:rPr>
              <w:t xml:space="preserve">Owns the BKT → DKT mastery models and IRT ability estimates per student per topic; feeds the pedagogical strategy controller.</w:t>
            </w:r>
          </w:p>
        </w:tc>
        <w:tc>
          <w:tcPr>
            <w:tcW w:type="dxa" w:w="3700"/>
            <w:tcMar>
              <w:top w:type="dxa" w:w="80"/>
              <w:left w:type="dxa" w:w="100"/>
              <w:bottom w:type="dxa" w:w="80"/>
              <w:right w:type="dxa" w:w="100"/>
            </w:tcMar>
          </w:tcPr>
          <w:p>
            <w:pPr>
              <w:jc w:val="left"/>
            </w:pPr>
            <w:r>
              <w:rPr>
                <w:b w:val="false"/>
                <w:bCs w:val="false"/>
                <w:color w:val="262626"/>
                <w:sz w:val="19"/>
                <w:szCs w:val="19"/>
              </w:rPr>
              <w:t xml:space="preserve">Starts as a Java/Spring service with BKT (simple probabilistic model, no ML infra needed); a Python/ML sidecar added only once DKT is warranted by volume.</w:t>
            </w:r>
          </w:p>
        </w:tc>
      </w:tr>
      <w:tr>
        <w:tc>
          <w:tcPr>
            <w:tcW w:type="dxa" w:w="2200"/>
            <w:shd w:fill="F5F7FA" w:val="clear"/>
            <w:tcMar>
              <w:top w:type="dxa" w:w="80"/>
              <w:left w:type="dxa" w:w="100"/>
              <w:bottom w:type="dxa" w:w="80"/>
              <w:right w:type="dxa" w:w="100"/>
            </w:tcMar>
          </w:tcPr>
          <w:p>
            <w:pPr>
              <w:jc w:val="left"/>
            </w:pPr>
            <w:r>
              <w:rPr>
                <w:b w:val="false"/>
                <w:bCs w:val="false"/>
                <w:color w:val="262626"/>
                <w:sz w:val="19"/>
                <w:szCs w:val="19"/>
              </w:rPr>
              <w:t xml:space="preserve">Marking service (tiered)</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Objective/short-answer auto-marking (rule- and rubric-based, fast, deterministic); long-form AI-assisted marking with a human/senior-tutor review queue and QA sampling.</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Java for the objective tier; vision-capable LLM API for the long-form tier, with a review-queue UI and audit logging.</w:t>
            </w:r>
          </w:p>
        </w:tc>
      </w:tr>
      <w:tr>
        <w:tc>
          <w:tcPr>
            <w:tcW w:type="dxa" w:w="2200"/>
            <w:tcMar>
              <w:top w:type="dxa" w:w="80"/>
              <w:left w:type="dxa" w:w="100"/>
              <w:bottom w:type="dxa" w:w="80"/>
              <w:right w:type="dxa" w:w="100"/>
            </w:tcMar>
          </w:tcPr>
          <w:p>
            <w:pPr>
              <w:jc w:val="left"/>
            </w:pPr>
            <w:r>
              <w:rPr>
                <w:b w:val="false"/>
                <w:bCs w:val="false"/>
                <w:color w:val="262626"/>
                <w:sz w:val="19"/>
                <w:szCs w:val="19"/>
              </w:rPr>
              <w:t xml:space="preserve">Engagement telemetry service</w:t>
            </w:r>
          </w:p>
        </w:tc>
        <w:tc>
          <w:tcPr>
            <w:tcW w:type="dxa" w:w="3700"/>
            <w:tcMar>
              <w:top w:type="dxa" w:w="80"/>
              <w:left w:type="dxa" w:w="100"/>
              <w:bottom w:type="dxa" w:w="80"/>
              <w:right w:type="dxa" w:w="100"/>
            </w:tcMar>
          </w:tcPr>
          <w:p>
            <w:pPr>
              <w:jc w:val="left"/>
            </w:pPr>
            <w:r>
              <w:rPr>
                <w:b w:val="false"/>
                <w:bCs w:val="false"/>
                <w:color w:val="262626"/>
                <w:sz w:val="19"/>
                <w:szCs w:val="19"/>
              </w:rPr>
              <w:t xml:space="preserve">Ingests interaction events (time-on-question, idle gaps, answer changes) in real time and computes the rolling engagement score that drives focus-shift and confusion-rescue behaviour.</w:t>
            </w:r>
          </w:p>
        </w:tc>
        <w:tc>
          <w:tcPr>
            <w:tcW w:type="dxa" w:w="3700"/>
            <w:tcMar>
              <w:top w:type="dxa" w:w="80"/>
              <w:left w:type="dxa" w:w="100"/>
              <w:bottom w:type="dxa" w:w="80"/>
              <w:right w:type="dxa" w:w="100"/>
            </w:tcMar>
          </w:tcPr>
          <w:p>
            <w:pPr>
              <w:jc w:val="left"/>
            </w:pPr>
            <w:r>
              <w:rPr>
                <w:b w:val="false"/>
                <w:bCs w:val="false"/>
                <w:color w:val="262626"/>
                <w:sz w:val="19"/>
                <w:szCs w:val="19"/>
              </w:rPr>
              <w:t xml:space="preserve">Event stream (e.g. Kafka) → real-time scoring consumer → triggers pushed to the tutor conversation layer.</w:t>
            </w:r>
          </w:p>
        </w:tc>
      </w:tr>
      <w:tr>
        <w:tc>
          <w:tcPr>
            <w:tcW w:type="dxa" w:w="2200"/>
            <w:shd w:fill="F5F7FA" w:val="clear"/>
            <w:tcMar>
              <w:top w:type="dxa" w:w="80"/>
              <w:left w:type="dxa" w:w="100"/>
              <w:bottom w:type="dxa" w:w="80"/>
              <w:right w:type="dxa" w:w="100"/>
            </w:tcMar>
          </w:tcPr>
          <w:p>
            <w:pPr>
              <w:jc w:val="left"/>
            </w:pPr>
            <w:r>
              <w:rPr>
                <w:b w:val="false"/>
                <w:bCs w:val="false"/>
                <w:color w:val="262626"/>
                <w:sz w:val="19"/>
                <w:szCs w:val="19"/>
              </w:rPr>
              <w:t xml:space="preserve">Agent orchestration layer</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Coordinates the Tutor, Question-Generation, Marking, Analytics and Safeguarding agents so they share the same mastery/engagement state rather than acting independently.</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Orchestration framework fronted by an API gateway; callable from the core Java platform like any other internal service.</w:t>
            </w:r>
          </w:p>
        </w:tc>
      </w:tr>
      <w:tr>
        <w:tc>
          <w:tcPr>
            <w:tcW w:type="dxa" w:w="2200"/>
            <w:tcMar>
              <w:top w:type="dxa" w:w="80"/>
              <w:left w:type="dxa" w:w="100"/>
              <w:bottom w:type="dxa" w:w="80"/>
              <w:right w:type="dxa" w:w="100"/>
            </w:tcMar>
          </w:tcPr>
          <w:p>
            <w:pPr>
              <w:jc w:val="left"/>
            </w:pPr>
            <w:r>
              <w:rPr>
                <w:b w:val="false"/>
                <w:bCs w:val="false"/>
                <w:color w:val="262626"/>
                <w:sz w:val="19"/>
                <w:szCs w:val="19"/>
              </w:rPr>
              <w:t xml:space="preserve">Safety &amp; moderation service</w:t>
            </w:r>
          </w:p>
        </w:tc>
        <w:tc>
          <w:tcPr>
            <w:tcW w:type="dxa" w:w="3700"/>
            <w:tcMar>
              <w:top w:type="dxa" w:w="80"/>
              <w:left w:type="dxa" w:w="100"/>
              <w:bottom w:type="dxa" w:w="80"/>
              <w:right w:type="dxa" w:w="100"/>
            </w:tcMar>
          </w:tcPr>
          <w:p>
            <w:pPr>
              <w:jc w:val="left"/>
            </w:pPr>
            <w:r>
              <w:rPr>
                <w:b w:val="false"/>
                <w:bCs w:val="false"/>
                <w:color w:val="262626"/>
                <w:sz w:val="19"/>
                <w:szCs w:val="19"/>
              </w:rPr>
              <w:t xml:space="preserve">Secondary monitoring model, PII redaction before any prompt leaves the platform, off-topic/concerning-content flagging, full audit log.</w:t>
            </w:r>
          </w:p>
        </w:tc>
        <w:tc>
          <w:tcPr>
            <w:tcW w:type="dxa" w:w="3700"/>
            <w:tcMar>
              <w:top w:type="dxa" w:w="80"/>
              <w:left w:type="dxa" w:w="100"/>
              <w:bottom w:type="dxa" w:w="80"/>
              <w:right w:type="dxa" w:w="100"/>
            </w:tcMar>
          </w:tcPr>
          <w:p>
            <w:pPr>
              <w:jc w:val="left"/>
            </w:pPr>
            <w:r>
              <w:rPr>
                <w:b w:val="false"/>
                <w:bCs w:val="false"/>
                <w:color w:val="262626"/>
                <w:sz w:val="19"/>
                <w:szCs w:val="19"/>
              </w:rPr>
              <w:t xml:space="preserve">LLM classifier + Java-based policy/audit layer, sitting in front of every learner-facing model call.</w:t>
            </w:r>
          </w:p>
        </w:tc>
      </w:tr>
      <w:tr>
        <w:tc>
          <w:tcPr>
            <w:tcW w:type="dxa" w:w="2200"/>
            <w:shd w:fill="F5F7FA" w:val="clear"/>
            <w:tcMar>
              <w:top w:type="dxa" w:w="80"/>
              <w:left w:type="dxa" w:w="100"/>
              <w:bottom w:type="dxa" w:w="80"/>
              <w:right w:type="dxa" w:w="100"/>
            </w:tcMar>
          </w:tcPr>
          <w:p>
            <w:pPr>
              <w:jc w:val="left"/>
            </w:pPr>
            <w:r>
              <w:rPr>
                <w:b w:val="false"/>
                <w:bCs w:val="false"/>
                <w:color w:val="262626"/>
                <w:sz w:val="19"/>
                <w:szCs w:val="19"/>
              </w:rPr>
              <w:t xml:space="preserve">Reporting &amp; compliance layer</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Parent/student narrative reports, consent management, age-band gating and data-minimisation enforcement for the Age Appropriate Design Code (Section 6).</w:t>
            </w:r>
          </w:p>
        </w:tc>
        <w:tc>
          <w:tcPr>
            <w:tcW w:type="dxa" w:w="3700"/>
            <w:shd w:fill="F5F7FA" w:val="clear"/>
            <w:tcMar>
              <w:top w:type="dxa" w:w="80"/>
              <w:left w:type="dxa" w:w="100"/>
              <w:bottom w:type="dxa" w:w="80"/>
              <w:right w:type="dxa" w:w="100"/>
            </w:tcMar>
          </w:tcPr>
          <w:p>
            <w:pPr>
              <w:jc w:val="left"/>
            </w:pPr>
            <w:r>
              <w:rPr>
                <w:b w:val="false"/>
                <w:bCs w:val="false"/>
                <w:color w:val="262626"/>
                <w:sz w:val="19"/>
                <w:szCs w:val="19"/>
              </w:rPr>
              <w:t xml:space="preserve">Java service over the same Oracle/MySQL store, with a scheduled job generating weekly narrative reports.</w:t>
            </w:r>
          </w:p>
        </w:tc>
      </w:tr>
    </w:tbl>
    <w:p>
      <w:pPr>
        <w:spacing w:after="100"/>
      </w:pPr>
    </w:p>
    <w:p>
      <w:pPr>
        <w:pBdr>
          <w:top w:val="single" w:color="1F3864" w:sz="4" w:space="4"/>
          <w:bottom w:val="single" w:color="1F3864" w:sz="4" w:space="4"/>
          <w:left w:val="single" w:color="1F3864" w:sz="4" w:space="4"/>
          <w:right w:val="single" w:color="1F3864" w:sz="4" w:space="4"/>
        </w:pBdr>
        <w:shd w:fill="EEF3F7" w:val="clear"/>
        <w:spacing w:after="220" w:before="100"/>
        <w:ind w:left="144" w:right="144"/>
      </w:pPr>
      <w:r>
        <w:rPr>
          <w:b/>
          <w:bCs/>
          <w:color w:val="1F3864"/>
          <w:sz w:val="20"/>
          <w:szCs w:val="20"/>
        </w:rPr>
        <w:t xml:space="preserve">Build note: </w:t>
      </w:r>
      <w:r>
        <w:rPr>
          <w:color w:val="262626"/>
          <w:sz w:val="20"/>
          <w:szCs w:val="20"/>
        </w:rPr>
        <w:t xml:space="preserve">This keeps the transactional core (accounts, billing, content, pricing — the largest single share of the original brief) on the stack already in use, and isolates the genuinely novel AI pieces (RAG generation, knowledge tracing, tiered marking, engagement scoring) as separately scalable services, so the pilot in Section 7 can ship one or two subjects without needing the full agent/DKT/voice stack built first.</w:t>
      </w:r>
    </w:p>
    <w:p>
      <w:pPr>
        <w:pStyle w:val="Heading1"/>
        <w:pBdr>
          <w:bottom w:val="single" w:color="1F3864" w:sz="8" w:space="4"/>
        </w:pBdr>
        <w:spacing w:after="160" w:before="400"/>
      </w:pPr>
      <w:r>
        <w:rPr>
          <w:b/>
          <w:bCs/>
          <w:color w:val="1F3864"/>
          <w:sz w:val="30"/>
          <w:szCs w:val="30"/>
        </w:rPr>
        <w:t xml:space="preserve">6. UK Regulatory &amp; Safeguarding Guardrails</w:t>
      </w:r>
    </w:p>
    <w:p>
      <w:pPr>
        <w:spacing w:after="110"/>
      </w:pPr>
      <w:r>
        <w:rPr>
          <w:color w:val="262626"/>
          <w:sz w:val="21"/>
          <w:szCs w:val="21"/>
        </w:rPr>
        <w:t xml:space="preserve">Not exhaustive legal advice — this flags the specific points from Section 4 that need sign-off from whoever owns compliance for the project, since several controls above interact directly with UK children’s-data law.</w:t>
      </w:r>
    </w:p>
    <w:p>
      <w:pPr>
        <w:keepNext/>
        <w:spacing w:after="60" w:before="240"/>
      </w:pPr>
      <w:r>
        <w:rPr>
          <w:b/>
          <w:bCs/>
          <w:color w:val="1A1A1A"/>
          <w:sz w:val="23"/>
          <w:szCs w:val="23"/>
        </w:rPr>
        <w:t xml:space="preserve">ICO Age Appropriate Design Code (“Children’s Code”)</w:t>
      </w:r>
      <w:r>
        <w:rPr>
          <w:b/>
          <w:bCs/>
          <w:color w:val="B45309"/>
          <w:sz w:val="18"/>
          <w:szCs w:val="18"/>
        </w:rPr>
        <w:t xml:space="preserve">   ·   Effort: Applies directly</w:t>
      </w:r>
    </w:p>
    <w:p>
      <w:pPr>
        <w:spacing w:after="110"/>
      </w:pPr>
      <w:r>
        <w:rPr>
          <w:color w:val="262626"/>
          <w:sz w:val="21"/>
          <w:szCs w:val="21"/>
        </w:rPr>
        <w:t xml:space="preserve">The Code applies to any online service “likely to be accessed by children” — explicitly including apps and online educational websites — regardless of whether it’s exclusively aimed at under-18s. Four points bite directly on Section 4:</w:t>
      </w:r>
    </w:p>
    <w:p>
      <w:pPr>
        <w:pStyle w:val="ListParagraph"/>
        <w:numPr>
          <w:ilvl w:val="0"/>
          <w:numId w:val="2"/>
        </w:numPr>
        <w:spacing w:after="60"/>
      </w:pPr>
      <w:r>
        <w:rPr>
          <w:color w:val="262626"/>
          <w:sz w:val="21"/>
          <w:szCs w:val="21"/>
        </w:rPr>
        <w:t xml:space="preserve">High privacy by default: engagement-telemetry and mastery data (4.1, 4.2) should default to privacy-protective settings, not opt-in-by-default collection.</w:t>
      </w:r>
    </w:p>
    <w:p>
      <w:pPr>
        <w:pStyle w:val="ListParagraph"/>
        <w:numPr>
          <w:ilvl w:val="0"/>
          <w:numId w:val="2"/>
        </w:numPr>
        <w:spacing w:after="60"/>
      </w:pPr>
      <w:r>
        <w:rPr>
          <w:color w:val="262626"/>
          <w:sz w:val="21"/>
          <w:szCs w:val="21"/>
        </w:rPr>
        <w:t xml:space="preserve">No manipulative “nudge” techniques: the Code explicitly bars design that pressures children into providing more data or more engagement than they’d otherwise choose — directly relevant to the gamification item in 4.6, which needs a design pass to reward mastery rather than exploit compulsion loops (streak anxiety, loss-aversion mechanics).</w:t>
      </w:r>
    </w:p>
    <w:p>
      <w:pPr>
        <w:pStyle w:val="ListParagraph"/>
        <w:numPr>
          <w:ilvl w:val="0"/>
          <w:numId w:val="2"/>
        </w:numPr>
        <w:spacing w:after="60"/>
      </w:pPr>
      <w:r>
        <w:rPr>
          <w:color w:val="262626"/>
          <w:sz w:val="21"/>
          <w:szCs w:val="21"/>
        </w:rPr>
        <w:t xml:space="preserve">Profiling restrictions: the mastery/engagement models in 4.1–4.2 are a form of profiling and should be reviewed against the Code’s profiling standard before the behavioural-telemetry item ships.</w:t>
      </w:r>
    </w:p>
    <w:p>
      <w:pPr>
        <w:pStyle w:val="ListParagraph"/>
        <w:numPr>
          <w:ilvl w:val="0"/>
          <w:numId w:val="2"/>
        </w:numPr>
        <w:spacing w:after="60"/>
      </w:pPr>
      <w:r>
        <w:rPr>
          <w:color w:val="262626"/>
          <w:sz w:val="21"/>
          <w:szCs w:val="21"/>
        </w:rPr>
        <w:t xml:space="preserve">Age-appropriate differentiation: the 7–18 age range this platform spans needs materially different treatment at each end — an 8-year-old and an 18-year-old A-Level student are not the same “child” under the Code, and UX/consent/data-collection choices should reflect that rather than one blanket policy.</w:t>
      </w:r>
    </w:p>
    <w:p>
      <w:pPr>
        <w:pBdr>
          <w:left w:val="single" w:color="0E7C7B" w:sz="12" w:space="6"/>
        </w:pBdr>
        <w:spacing w:after="160"/>
        <w:ind w:left="215"/>
      </w:pPr>
      <w:r>
        <w:rPr>
          <w:b/>
          <w:bCs/>
          <w:i/>
          <w:iCs/>
          <w:color w:val="0E7C7B"/>
          <w:sz w:val="19"/>
          <w:szCs w:val="19"/>
        </w:rPr>
        <w:t xml:space="preserve">Evidence: </w:t>
      </w:r>
      <w:r>
        <w:rPr>
          <w:i/>
          <w:iCs/>
          <w:color w:val="595959"/>
          <w:sz w:val="19"/>
          <w:szCs w:val="19"/>
        </w:rPr>
        <w:t xml:space="preserve">ICO, “Age Appropriate Design Code”, ico.org.uk — guidance confirms explicit coverage of “apps” and “online educational websites”, a required high level of default privacy protection, and an express prohibition on nudge techniques used to extract data or engagement.</w:t>
      </w:r>
    </w:p>
    <w:p>
      <w:pPr>
        <w:keepNext/>
        <w:spacing w:after="60" w:before="240"/>
      </w:pPr>
      <w:r>
        <w:rPr>
          <w:b/>
          <w:bCs/>
          <w:color w:val="1A1A1A"/>
          <w:sz w:val="23"/>
          <w:szCs w:val="23"/>
        </w:rPr>
        <w:t xml:space="preserve">Parental consent &amp; data minimisation (UK GDPR)</w:t>
      </w:r>
      <w:r>
        <w:rPr>
          <w:b/>
          <w:bCs/>
          <w:color w:val="B45309"/>
          <w:sz w:val="18"/>
          <w:szCs w:val="18"/>
        </w:rPr>
        <w:t xml:space="preserve">   ·   Effort: Applies directly</w:t>
      </w:r>
    </w:p>
    <w:p>
      <w:pPr>
        <w:spacing w:after="110"/>
      </w:pPr>
      <w:r>
        <w:rPr>
          <w:color w:val="262626"/>
          <w:sz w:val="21"/>
          <w:szCs w:val="21"/>
        </w:rPr>
        <w:t xml:space="preserve">Standard UK GDPR children’s-data rules apply on top of the Code: parental consent requirements for under-13s (the 11+ cohort), data minimisation on what telemetry is actually stored versus processed transiently, and a clear right-to-erasure path for a family that leaves the platform.</w:t>
      </w:r>
    </w:p>
    <w:p>
      <w:pPr>
        <w:keepNext/>
        <w:spacing w:after="60" w:before="240"/>
      </w:pPr>
      <w:r>
        <w:rPr>
          <w:b/>
          <w:bCs/>
          <w:color w:val="1A1A1A"/>
          <w:sz w:val="23"/>
          <w:szCs w:val="23"/>
        </w:rPr>
        <w:t xml:space="preserve">Safeguarding, if the B2B schools channel is pursued</w:t>
      </w:r>
      <w:r>
        <w:rPr>
          <w:b/>
          <w:bCs/>
          <w:color w:val="B45309"/>
          <w:sz w:val="18"/>
          <w:szCs w:val="18"/>
        </w:rPr>
        <w:t xml:space="preserve">   ·   Effort: Conditional</w:t>
      </w:r>
    </w:p>
    <w:p>
      <w:pPr>
        <w:spacing w:after="110"/>
      </w:pPr>
      <w:r>
        <w:rPr>
          <w:color w:val="262626"/>
          <w:sz w:val="21"/>
          <w:szCs w:val="21"/>
        </w:rPr>
        <w:t xml:space="preserve">If the “Atom School”-equivalent B2B channel is built (Section 4.5’s teacher dashboard), UK schools will expect alignment with Keeping Children Safe in Education (KCSIE) filtering-and-monitoring expectations for anything a pupil can type into a chat-based tutor on school premises — a materially bigger scope item than the consumer-only version.</w:t>
      </w:r>
    </w:p>
    <w:p>
      <w:pPr>
        <w:keepNext/>
        <w:spacing w:after="60" w:before="240"/>
      </w:pPr>
      <w:r>
        <w:rPr>
          <w:b/>
          <w:bCs/>
          <w:color w:val="1A1A1A"/>
          <w:sz w:val="23"/>
          <w:szCs w:val="23"/>
        </w:rPr>
        <w:t xml:space="preserve">AI-marking transparency</w:t>
      </w:r>
      <w:r>
        <w:rPr>
          <w:b/>
          <w:bCs/>
          <w:color w:val="B45309"/>
          <w:sz w:val="18"/>
          <w:szCs w:val="18"/>
        </w:rPr>
        <w:t xml:space="preserve">   ·   Effort: Applies directly to A-Level marking (4.4)</w:t>
      </w:r>
    </w:p>
    <w:p>
      <w:pPr>
        <w:spacing w:after="110"/>
      </w:pPr>
      <w:r>
        <w:rPr>
          <w:color w:val="262626"/>
          <w:sz w:val="21"/>
          <w:szCs w:val="21"/>
        </w:rPr>
        <w:t xml:space="preserve">Because predicted grades from this platform could plausibly influence a family’s sense of UCAS-readiness, any AI-assisted long-form mark should carry a clear “AI-assisted, examiner-style estimate — not an official mark” disclaimer, and the human-review threshold from 4.4 should be a stated policy, not an implementation detail buried in the marking service.</w:t>
      </w:r>
    </w:p>
    <w:p>
      <w:pPr>
        <w:pStyle w:val="Heading1"/>
        <w:pBdr>
          <w:bottom w:val="single" w:color="1F3864" w:sz="8" w:space="4"/>
        </w:pBdr>
        <w:spacing w:after="160" w:before="400"/>
      </w:pPr>
      <w:r>
        <w:rPr>
          <w:b/>
          <w:bCs/>
          <w:color w:val="1F3864"/>
          <w:sz w:val="30"/>
          <w:szCs w:val="30"/>
        </w:rPr>
        <w:t xml:space="preserve">7. Suggested Phasing (Aligned to the Brief’s Existing Phases)</w:t>
      </w:r>
    </w:p>
    <w:p>
      <w:pPr>
        <w:spacing w:after="110"/>
      </w:pPr>
      <w:r>
        <w:rPr>
          <w:color w:val="262626"/>
          <w:sz w:val="21"/>
          <w:szCs w:val="21"/>
        </w:rPr>
        <w:t xml:space="preserve">The original brief already proposes a three-phase rollout for the AI-question-generation engine (pilot → widen → grade-targeted mastery loop). The items in Section 4 slot into that same rhythm rather than adding a parallel timeline.</w:t>
      </w:r>
    </w:p>
    <w:p>
      <w:pPr>
        <w:spacing w:after="6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4200"/>
      </w:tblGrid>
      <w:tr>
        <w:tc>
          <w:tcPr>
            <w:tcW w:type="dxa" w:w="1600"/>
            <w:shd w:fill="1F3864" w:val="clear"/>
            <w:tcMar>
              <w:top w:type="dxa" w:w="80"/>
              <w:left w:type="dxa" w:w="100"/>
              <w:bottom w:type="dxa" w:w="80"/>
              <w:right w:type="dxa" w:w="100"/>
            </w:tcMar>
          </w:tcPr>
          <w:p>
            <w:pPr>
              <w:jc w:val="left"/>
            </w:pPr>
            <w:r>
              <w:rPr>
                <w:b/>
                <w:bCs/>
                <w:color w:val="FFFFFF"/>
                <w:sz w:val="19"/>
                <w:szCs w:val="19"/>
              </w:rPr>
              <w:t xml:space="preserve">Phase</w:t>
            </w:r>
          </w:p>
        </w:tc>
        <w:tc>
          <w:tcPr>
            <w:tcW w:type="dxa" w:w="3900"/>
            <w:shd w:fill="1F3864" w:val="clear"/>
            <w:tcMar>
              <w:top w:type="dxa" w:w="80"/>
              <w:left w:type="dxa" w:w="100"/>
              <w:bottom w:type="dxa" w:w="80"/>
              <w:right w:type="dxa" w:w="100"/>
            </w:tcMar>
          </w:tcPr>
          <w:p>
            <w:pPr>
              <w:jc w:val="left"/>
            </w:pPr>
            <w:r>
              <w:rPr>
                <w:b/>
                <w:bCs/>
                <w:color w:val="FFFFFF"/>
                <w:sz w:val="19"/>
                <w:szCs w:val="19"/>
              </w:rPr>
              <w:t xml:space="preserve">AI-question-generation engine (from the brief)</w:t>
            </w:r>
          </w:p>
        </w:tc>
        <w:tc>
          <w:tcPr>
            <w:tcW w:type="dxa" w:w="4200"/>
            <w:shd w:fill="1F3864" w:val="clear"/>
            <w:tcMar>
              <w:top w:type="dxa" w:w="80"/>
              <w:left w:type="dxa" w:w="100"/>
              <w:bottom w:type="dxa" w:w="80"/>
              <w:right w:type="dxa" w:w="100"/>
            </w:tcMar>
          </w:tcPr>
          <w:p>
            <w:pPr>
              <w:jc w:val="left"/>
            </w:pPr>
            <w:r>
              <w:rPr>
                <w:b/>
                <w:bCs/>
                <w:color w:val="FFFFFF"/>
                <w:sz w:val="19"/>
                <w:szCs w:val="19"/>
              </w:rPr>
              <w:t xml:space="preserve">AI Tutor Control Layer (this document)</w:t>
            </w:r>
          </w:p>
        </w:tc>
      </w:tr>
      <w:tr>
        <w:tc>
          <w:tcPr>
            <w:tcW w:type="dxa" w:w="1600"/>
            <w:tcMar>
              <w:top w:type="dxa" w:w="80"/>
              <w:left w:type="dxa" w:w="100"/>
              <w:bottom w:type="dxa" w:w="80"/>
              <w:right w:type="dxa" w:w="100"/>
            </w:tcMar>
          </w:tcPr>
          <w:p>
            <w:pPr>
              <w:jc w:val="left"/>
            </w:pPr>
            <w:r>
              <w:rPr>
                <w:b w:val="false"/>
                <w:bCs w:val="false"/>
                <w:color w:val="262626"/>
                <w:sz w:val="19"/>
                <w:szCs w:val="19"/>
              </w:rPr>
              <w:t xml:space="preserve">Phase 1 — Pilot (1–2 subjects)</w:t>
            </w:r>
          </w:p>
        </w:tc>
        <w:tc>
          <w:tcPr>
            <w:tcW w:type="dxa" w:w="3900"/>
            <w:tcMar>
              <w:top w:type="dxa" w:w="80"/>
              <w:left w:type="dxa" w:w="100"/>
              <w:bottom w:type="dxa" w:w="80"/>
              <w:right w:type="dxa" w:w="100"/>
            </w:tcMar>
          </w:tcPr>
          <w:p>
            <w:pPr>
              <w:jc w:val="left"/>
            </w:pPr>
            <w:r>
              <w:rPr>
                <w:b w:val="false"/>
                <w:bCs w:val="false"/>
                <w:color w:val="262626"/>
                <w:sz w:val="19"/>
                <w:szCs w:val="19"/>
              </w:rPr>
              <w:t xml:space="preserve">Topic-level question generation, reusing the existing marking engine.</w:t>
            </w:r>
          </w:p>
        </w:tc>
        <w:tc>
          <w:tcPr>
            <w:tcW w:type="dxa" w:w="4200"/>
            <w:tcMar>
              <w:top w:type="dxa" w:w="80"/>
              <w:left w:type="dxa" w:w="100"/>
              <w:bottom w:type="dxa" w:w="80"/>
              <w:right w:type="dxa" w:w="100"/>
            </w:tcMar>
          </w:tcPr>
          <w:p>
            <w:pPr>
              <w:jc w:val="left"/>
            </w:pPr>
            <w:r>
              <w:rPr>
                <w:b w:val="false"/>
                <w:bCs w:val="false"/>
                <w:color w:val="262626"/>
                <w:sz w:val="19"/>
                <w:szCs w:val="19"/>
              </w:rPr>
              <w:t xml:space="preserve">Behavioural telemetry basics, confusion-rescue pattern, surprise micro-quizzes, BKT mastery model, confidence-calibration prompts, and the safety/moderation layer — this last one ships with the pilot, not later, given the under-18 user base.</w:t>
            </w:r>
          </w:p>
        </w:tc>
      </w:tr>
      <w:tr>
        <w:tc>
          <w:tcPr>
            <w:tcW w:type="dxa" w:w="1600"/>
            <w:shd w:fill="F5F7FA" w:val="clear"/>
            <w:tcMar>
              <w:top w:type="dxa" w:w="80"/>
              <w:left w:type="dxa" w:w="100"/>
              <w:bottom w:type="dxa" w:w="80"/>
              <w:right w:type="dxa" w:w="100"/>
            </w:tcMar>
          </w:tcPr>
          <w:p>
            <w:pPr>
              <w:jc w:val="left"/>
            </w:pPr>
            <w:r>
              <w:rPr>
                <w:b w:val="false"/>
                <w:bCs w:val="false"/>
                <w:color w:val="262626"/>
                <w:sz w:val="19"/>
                <w:szCs w:val="19"/>
              </w:rPr>
              <w:t xml:space="preserve">Phase 2 — Widen</w:t>
            </w:r>
          </w:p>
        </w:tc>
        <w:tc>
          <w:tcPr>
            <w:tcW w:type="dxa" w:w="3900"/>
            <w:shd w:fill="F5F7FA" w:val="clear"/>
            <w:tcMar>
              <w:top w:type="dxa" w:w="80"/>
              <w:left w:type="dxa" w:w="100"/>
              <w:bottom w:type="dxa" w:w="80"/>
              <w:right w:type="dxa" w:w="100"/>
            </w:tcMar>
          </w:tcPr>
          <w:p>
            <w:pPr>
              <w:jc w:val="left"/>
            </w:pPr>
            <w:r>
              <w:rPr>
                <w:b w:val="false"/>
                <w:bCs w:val="false"/>
                <w:color w:val="262626"/>
                <w:sz w:val="19"/>
                <w:szCs w:val="19"/>
              </w:rPr>
              <w:t xml:space="preserve">All subjects/boards, full mock-paper assembly.</w:t>
            </w:r>
          </w:p>
        </w:tc>
        <w:tc>
          <w:tcPr>
            <w:tcW w:type="dxa" w:w="4200"/>
            <w:shd w:fill="F5F7FA" w:val="clear"/>
            <w:tcMar>
              <w:top w:type="dxa" w:w="80"/>
              <w:left w:type="dxa" w:w="100"/>
              <w:bottom w:type="dxa" w:w="80"/>
              <w:right w:type="dxa" w:w="100"/>
            </w:tcMar>
          </w:tcPr>
          <w:p>
            <w:pPr>
              <w:jc w:val="left"/>
            </w:pPr>
            <w:r>
              <w:rPr>
                <w:b w:val="false"/>
                <w:bCs w:val="false"/>
                <w:color w:val="262626"/>
                <w:sz w:val="19"/>
                <w:szCs w:val="19"/>
              </w:rPr>
              <w:t xml:space="preserve">Pedagogical strategy controller, FSRS-based spaced repetition, tiered marking incl. the A-Level second-reader workflow, predictive grade forecasting, weekly parent/student narrative reports.</w:t>
            </w:r>
          </w:p>
        </w:tc>
      </w:tr>
      <w:tr>
        <w:tc>
          <w:tcPr>
            <w:tcW w:type="dxa" w:w="1600"/>
            <w:tcMar>
              <w:top w:type="dxa" w:w="80"/>
              <w:left w:type="dxa" w:w="100"/>
              <w:bottom w:type="dxa" w:w="80"/>
              <w:right w:type="dxa" w:w="100"/>
            </w:tcMar>
          </w:tcPr>
          <w:p>
            <w:pPr>
              <w:jc w:val="left"/>
            </w:pPr>
            <w:r>
              <w:rPr>
                <w:b w:val="false"/>
                <w:bCs w:val="false"/>
                <w:color w:val="262626"/>
                <w:sz w:val="19"/>
                <w:szCs w:val="19"/>
              </w:rPr>
              <w:t xml:space="preserve">Phase 3 — Mastery loop</w:t>
            </w:r>
          </w:p>
        </w:tc>
        <w:tc>
          <w:tcPr>
            <w:tcW w:type="dxa" w:w="3900"/>
            <w:tcMar>
              <w:top w:type="dxa" w:w="80"/>
              <w:left w:type="dxa" w:w="100"/>
              <w:bottom w:type="dxa" w:w="80"/>
              <w:right w:type="dxa" w:w="100"/>
            </w:tcMar>
          </w:tcPr>
          <w:p>
            <w:pPr>
              <w:jc w:val="left"/>
            </w:pPr>
            <w:r>
              <w:rPr>
                <w:b w:val="false"/>
                <w:bCs w:val="false"/>
                <w:color w:val="262626"/>
                <w:sz w:val="19"/>
                <w:szCs w:val="19"/>
              </w:rPr>
              <w:t xml:space="preserve">Grade-targeted “keep practising until secure” loop.</w:t>
            </w:r>
          </w:p>
        </w:tc>
        <w:tc>
          <w:tcPr>
            <w:tcW w:type="dxa" w:w="4200"/>
            <w:tcMar>
              <w:top w:type="dxa" w:w="80"/>
              <w:left w:type="dxa" w:w="100"/>
              <w:bottom w:type="dxa" w:w="80"/>
              <w:right w:type="dxa" w:w="100"/>
            </w:tcMar>
          </w:tcPr>
          <w:p>
            <w:pPr>
              <w:jc w:val="left"/>
            </w:pPr>
            <w:r>
              <w:rPr>
                <w:b w:val="false"/>
                <w:bCs w:val="false"/>
                <w:color w:val="262626"/>
                <w:sz w:val="19"/>
                <w:szCs w:val="19"/>
              </w:rPr>
              <w:t xml:space="preserve">Voice/oral practice mode, DKT upgrade (once volume supports it), gamification (post-compliance-review), full SEND/accessibility differentiation, teacher dashboards if the B2B channel is greenlit.</w:t>
            </w:r>
          </w:p>
        </w:tc>
      </w:tr>
      <w:tr>
        <w:tc>
          <w:tcPr>
            <w:tcW w:type="dxa" w:w="1600"/>
            <w:shd w:fill="F5F7FA" w:val="clear"/>
            <w:tcMar>
              <w:top w:type="dxa" w:w="80"/>
              <w:left w:type="dxa" w:w="100"/>
              <w:bottom w:type="dxa" w:w="80"/>
              <w:right w:type="dxa" w:w="100"/>
            </w:tcMar>
          </w:tcPr>
          <w:p>
            <w:pPr>
              <w:jc w:val="left"/>
            </w:pPr>
            <w:r>
              <w:rPr>
                <w:b w:val="false"/>
                <w:bCs w:val="false"/>
                <w:color w:val="262626"/>
                <w:sz w:val="19"/>
                <w:szCs w:val="19"/>
              </w:rPr>
              <w:t xml:space="preserve">Not currently recommended</w:t>
            </w:r>
          </w:p>
        </w:tc>
        <w:tc>
          <w:tcPr>
            <w:tcW w:type="dxa" w:w="3900"/>
            <w:shd w:fill="F5F7FA" w:val="clear"/>
            <w:tcMar>
              <w:top w:type="dxa" w:w="80"/>
              <w:left w:type="dxa" w:w="100"/>
              <w:bottom w:type="dxa" w:w="80"/>
              <w:right w:type="dxa" w:w="100"/>
            </w:tcMar>
          </w:tcPr>
          <w:p>
            <w:pPr>
              <w:jc w:val="left"/>
            </w:pPr>
            <w:r>
              <w:rPr>
                <w:b w:val="false"/>
                <w:bCs w:val="false"/>
                <w:color w:val="262626"/>
                <w:sz w:val="19"/>
                <w:szCs w:val="19"/>
              </w:rPr>
              <w:t xml:space="preserve">—</w:t>
            </w:r>
          </w:p>
        </w:tc>
        <w:tc>
          <w:tcPr>
            <w:tcW w:type="dxa" w:w="4200"/>
            <w:shd w:fill="F5F7FA" w:val="clear"/>
            <w:tcMar>
              <w:top w:type="dxa" w:w="80"/>
              <w:left w:type="dxa" w:w="100"/>
              <w:bottom w:type="dxa" w:w="80"/>
              <w:right w:type="dxa" w:w="100"/>
            </w:tcMar>
          </w:tcPr>
          <w:p>
            <w:pPr>
              <w:jc w:val="left"/>
            </w:pPr>
            <w:r>
              <w:rPr>
                <w:b w:val="false"/>
                <w:bCs w:val="false"/>
                <w:color w:val="262626"/>
                <w:sz w:val="19"/>
                <w:szCs w:val="19"/>
              </w:rPr>
              <w:t xml:space="preserve">Webcam/biometric affect sensing (4.1) — kept as an explicitly declined option pending a future decision, not a silent gap.</w:t>
            </w:r>
          </w:p>
        </w:tc>
      </w:tr>
    </w:tbl>
    <w:p>
      <w:pPr>
        <w:pStyle w:val="Heading1"/>
        <w:pBdr>
          <w:bottom w:val="single" w:color="1F3864" w:sz="8" w:space="4"/>
        </w:pBdr>
        <w:spacing w:after="160" w:before="400"/>
      </w:pPr>
      <w:r>
        <w:rPr>
          <w:b/>
          <w:bCs/>
          <w:color w:val="1F3864"/>
          <w:sz w:val="30"/>
          <w:szCs w:val="30"/>
        </w:rPr>
        <w:t xml:space="preserve">8. Open Decisions for Stakeholder Sign-off</w:t>
      </w:r>
    </w:p>
    <w:p>
      <w:pPr>
        <w:spacing w:after="110"/>
      </w:pPr>
      <w:r>
        <w:rPr>
          <w:color w:val="262626"/>
          <w:sz w:val="21"/>
          <w:szCs w:val="21"/>
        </w:rPr>
        <w:t xml:space="preserve">Specific yes/no calls this document surfaces that the client should make explicitly before implementation starts, since each one changes scope, cost, or compliance posture:</w:t>
      </w:r>
    </w:p>
    <w:p>
      <w:pPr>
        <w:pStyle w:val="ListParagraph"/>
        <w:numPr>
          <w:ilvl w:val="0"/>
          <w:numId w:val="2"/>
        </w:numPr>
        <w:spacing w:after="60"/>
      </w:pPr>
      <w:r>
        <w:rPr>
          <w:color w:val="262626"/>
          <w:sz w:val="21"/>
          <w:szCs w:val="21"/>
        </w:rPr>
        <w:t xml:space="preserve">Webcam/biometric affect sensing (4.1): include, or explicitly exclude and rely on behavioural telemetry only? Recommendation: exclude for launch.</w:t>
      </w:r>
    </w:p>
    <w:p>
      <w:pPr>
        <w:pStyle w:val="ListParagraph"/>
        <w:numPr>
          <w:ilvl w:val="0"/>
          <w:numId w:val="2"/>
        </w:numPr>
        <w:spacing w:after="60"/>
      </w:pPr>
      <w:r>
        <w:rPr>
          <w:color w:val="262626"/>
          <w:sz w:val="21"/>
          <w:szCs w:val="21"/>
        </w:rPr>
        <w:t xml:space="preserve">A-Level long-form marking (4.4): fully automated from day one, or AI-assisted with mandatory human/senior-tutor review at launch, tapering off as accuracy data accumulates? Recommendation: human-reviewed at launch, per the physics-grading research cited above.</w:t>
      </w:r>
    </w:p>
    <w:p>
      <w:pPr>
        <w:pStyle w:val="ListParagraph"/>
        <w:numPr>
          <w:ilvl w:val="0"/>
          <w:numId w:val="2"/>
        </w:numPr>
        <w:spacing w:after="60"/>
      </w:pPr>
      <w:r>
        <w:rPr>
          <w:color w:val="262626"/>
          <w:sz w:val="21"/>
          <w:szCs w:val="21"/>
        </w:rPr>
        <w:t xml:space="preserve">Voice/oral practice mode (4.3): in scope for the MVP pilot, or a Phase 3 addition?</w:t>
      </w:r>
    </w:p>
    <w:p>
      <w:pPr>
        <w:pStyle w:val="ListParagraph"/>
        <w:numPr>
          <w:ilvl w:val="0"/>
          <w:numId w:val="2"/>
        </w:numPr>
        <w:spacing w:after="60"/>
      </w:pPr>
      <w:r>
        <w:rPr>
          <w:color w:val="262626"/>
          <w:sz w:val="21"/>
          <w:szCs w:val="21"/>
        </w:rPr>
        <w:t xml:space="preserve">Gamification depth (4.6): how much reward-mechanic risk is acceptable under the Age Appropriate Design Code, especially for the under-13 (11+) cohort — needs a named compliance owner before design starts.</w:t>
      </w:r>
    </w:p>
    <w:p>
      <w:pPr>
        <w:pStyle w:val="ListParagraph"/>
        <w:numPr>
          <w:ilvl w:val="0"/>
          <w:numId w:val="2"/>
        </w:numPr>
        <w:spacing w:after="60"/>
      </w:pPr>
      <w:r>
        <w:rPr>
          <w:color w:val="262626"/>
          <w:sz w:val="21"/>
          <w:szCs w:val="21"/>
        </w:rPr>
        <w:t xml:space="preserve">B2B schools/teacher-dashboard channel: pursue alongside the consumer product, or defer? This materially changes the safeguarding (KCSIE) and dashboard scope in Sections 4.5 and 6.</w:t>
      </w:r>
    </w:p>
    <w:p>
      <w:pPr>
        <w:pStyle w:val="ListParagraph"/>
        <w:numPr>
          <w:ilvl w:val="0"/>
          <w:numId w:val="2"/>
        </w:numPr>
        <w:spacing w:after="60"/>
      </w:pPr>
      <w:r>
        <w:rPr>
          <w:color w:val="262626"/>
          <w:sz w:val="21"/>
          <w:szCs w:val="21"/>
        </w:rPr>
        <w:t xml:space="preserve">Model/vendor choice and data residency for anything touching UK children’s data — which LLM provider, and what data-processing/sub-processor terms apply, needs a named owner before any learner data reaches a third-party model API.</w:t>
      </w:r>
    </w:p>
    <w:p>
      <w:pPr>
        <w:pStyle w:val="Heading1"/>
        <w:pBdr>
          <w:bottom w:val="single" w:color="1F3864" w:sz="8" w:space="4"/>
        </w:pBdr>
        <w:spacing w:after="160" w:before="400"/>
      </w:pPr>
      <w:r>
        <w:rPr>
          <w:b/>
          <w:bCs/>
          <w:color w:val="1F3864"/>
          <w:sz w:val="30"/>
          <w:szCs w:val="30"/>
        </w:rPr>
        <w:t xml:space="preserve">9. Evidence &amp; Sources</w:t>
      </w:r>
    </w:p>
    <w:p>
      <w:pPr>
        <w:spacing w:after="110"/>
      </w:pPr>
      <w:r>
        <w:rPr>
          <w:color w:val="262626"/>
          <w:sz w:val="21"/>
          <w:szCs w:val="21"/>
        </w:rPr>
        <w:t xml:space="preserve">Research basis for the claims and design patterns above (accessed September 2026):</w:t>
      </w:r>
    </w:p>
    <w:p>
      <w:pPr>
        <w:pStyle w:val="ListParagraph"/>
        <w:numPr>
          <w:ilvl w:val="0"/>
          <w:numId w:val="2"/>
        </w:numPr>
        <w:spacing w:after="60"/>
      </w:pPr>
      <w:r>
        <w:rPr>
          <w:color w:val="262626"/>
          <w:sz w:val="21"/>
          <w:szCs w:val="21"/>
        </w:rPr>
        <w:t xml:space="preserve">Sparx Maths / University of Cambridge Faculty of Education — “Sparx Maths Key Findings Report” (educ.cam.ac.uk).</w:t>
      </w:r>
    </w:p>
    <w:p>
      <w:pPr>
        <w:pStyle w:val="ListParagraph"/>
        <w:numPr>
          <w:ilvl w:val="0"/>
          <w:numId w:val="2"/>
        </w:numPr>
        <w:spacing w:after="60"/>
      </w:pPr>
      <w:r>
        <w:rPr>
          <w:color w:val="262626"/>
          <w:sz w:val="21"/>
          <w:szCs w:val="21"/>
        </w:rPr>
        <w:t xml:space="preserve">Fora Soft — “AI Tutors and Adaptive Learning: 2026 Build Playbook” (forasoft.com) — BKT/IRT/DKT graduation path, pedagogical strategy controller pattern, Khanmigo RCT effect-size figure, per-learner cost benchmarks.</w:t>
      </w:r>
    </w:p>
    <w:p>
      <w:pPr>
        <w:pStyle w:val="ListParagraph"/>
        <w:numPr>
          <w:ilvl w:val="0"/>
          <w:numId w:val="2"/>
        </w:numPr>
        <w:spacing w:after="60"/>
      </w:pPr>
      <w:r>
        <w:rPr>
          <w:color w:val="262626"/>
          <w:sz w:val="21"/>
          <w:szCs w:val="21"/>
        </w:rPr>
        <w:t xml:space="preserve">Springer — “A multimodal AI framework for real-time student engagement detection” (2026) — behavioural/interaction-signal engagement scoring and intervention-response data.</w:t>
      </w:r>
    </w:p>
    <w:p>
      <w:pPr>
        <w:pStyle w:val="ListParagraph"/>
        <w:numPr>
          <w:ilvl w:val="0"/>
          <w:numId w:val="2"/>
        </w:numPr>
        <w:spacing w:after="60"/>
      </w:pPr>
      <w:r>
        <w:rPr>
          <w:color w:val="262626"/>
          <w:sz w:val="21"/>
          <w:szCs w:val="21"/>
        </w:rPr>
        <w:t xml:space="preserve">Springer — “Building emotionally intelligent generative AI tutors for education” (2026) — affect-sensing modalities and dual cognitive/affective adaptation architecture.</w:t>
      </w:r>
    </w:p>
    <w:p>
      <w:pPr>
        <w:pStyle w:val="ListParagraph"/>
        <w:numPr>
          <w:ilvl w:val="0"/>
          <w:numId w:val="2"/>
        </w:numPr>
        <w:spacing w:after="60"/>
      </w:pPr>
      <w:r>
        <w:rPr>
          <w:color w:val="262626"/>
          <w:sz w:val="21"/>
          <w:szCs w:val="21"/>
        </w:rPr>
        <w:t xml:space="preserve">buildmvpfast.com — “Khanmigo Case Study: AI Tutoring at Scale 2026” — Socratic method design, engagement limitations, safety-guardrail architecture.</w:t>
      </w:r>
    </w:p>
    <w:p>
      <w:pPr>
        <w:pStyle w:val="ListParagraph"/>
        <w:numPr>
          <w:ilvl w:val="0"/>
          <w:numId w:val="2"/>
        </w:numPr>
        <w:spacing w:after="60"/>
      </w:pPr>
      <w:r>
        <w:rPr>
          <w:color w:val="262626"/>
          <w:sz w:val="21"/>
          <w:szCs w:val="21"/>
        </w:rPr>
        <w:t xml:space="preserve">Third Space Learning — official product information (thirdspacelearning.com/llm-info) — “Skye” AI tutor design and outcome data.</w:t>
      </w:r>
    </w:p>
    <w:p>
      <w:pPr>
        <w:pStyle w:val="ListParagraph"/>
        <w:numPr>
          <w:ilvl w:val="0"/>
          <w:numId w:val="2"/>
        </w:numPr>
        <w:spacing w:after="60"/>
      </w:pPr>
      <w:r>
        <w:rPr>
          <w:color w:val="262626"/>
          <w:sz w:val="21"/>
          <w:szCs w:val="21"/>
        </w:rPr>
        <w:t xml:space="preserve">arXiv 2507.18882 — “A Comprehensive Review of AI-based Intelligent Tutoring Systems” — domain/student/tutor-model architecture and affective-ITS patterns.</w:t>
      </w:r>
    </w:p>
    <w:p>
      <w:pPr>
        <w:pStyle w:val="ListParagraph"/>
        <w:numPr>
          <w:ilvl w:val="0"/>
          <w:numId w:val="2"/>
        </w:numPr>
        <w:spacing w:after="60"/>
      </w:pPr>
      <w:r>
        <w:rPr>
          <w:color w:val="262626"/>
          <w:sz w:val="21"/>
          <w:szCs w:val="21"/>
        </w:rPr>
        <w:t xml:space="preserve">arXiv 2608.20521 — “Large-scale AI grading of handwritten physics assessments” — long-form AI marking accuracy and limitations.</w:t>
      </w:r>
    </w:p>
    <w:p>
      <w:pPr>
        <w:pStyle w:val="ListParagraph"/>
        <w:numPr>
          <w:ilvl w:val="0"/>
          <w:numId w:val="2"/>
        </w:numPr>
        <w:spacing w:after="60"/>
      </w:pPr>
      <w:r>
        <w:rPr>
          <w:color w:val="262626"/>
          <w:sz w:val="21"/>
          <w:szCs w:val="21"/>
        </w:rPr>
        <w:t xml:space="preserve">ICO — “Age Appropriate Design Code” guidance (ico.org.uk) — Children’s Code scope, privacy-by-default, nudge-technique prohibition, profiling and age-differentiation standards.</w:t>
      </w:r>
    </w:p>
    <w:p>
      <w:pPr>
        <w:pStyle w:val="ListParagraph"/>
        <w:numPr>
          <w:ilvl w:val="0"/>
          <w:numId w:val="2"/>
        </w:numPr>
        <w:spacing w:after="60"/>
      </w:pPr>
      <w:r>
        <w:rPr>
          <w:color w:val="262626"/>
          <w:sz w:val="21"/>
          <w:szCs w:val="21"/>
        </w:rPr>
        <w:t xml:space="preserve">Bloom, B.S. (1984) — “The 2 Sigma Problem: The Search for Methods of Group Instruction as Effective as One-to-One Tutoring”, Educational Researcher.</w:t>
      </w:r>
    </w:p>
    <w:p>
      <w:pPr>
        <w:pStyle w:val="Heading1"/>
        <w:pBdr>
          <w:bottom w:val="single" w:color="1F3864" w:sz="8" w:space="4"/>
        </w:pBdr>
        <w:spacing w:after="160" w:before="400"/>
      </w:pPr>
      <w:r>
        <w:rPr>
          <w:b/>
          <w:bCs/>
          <w:color w:val="1F3864"/>
          <w:sz w:val="30"/>
          <w:szCs w:val="30"/>
        </w:rPr>
        <w:t xml:space="preserve">10. Update — Reconciliation with Brief v3</w:t>
      </w:r>
    </w:p>
    <w:p>
      <w:pPr>
        <w:spacing w:after="110"/>
      </w:pPr>
      <w:r>
        <w:rPr>
          <w:color w:val="262626"/>
          <w:sz w:val="21"/>
          <w:szCs w:val="21"/>
        </w:rPr>
        <w:t xml:space="preserve">Arshad has since sent v3 of the Development Brief, which adds a substantial amount of new material on top of the v2 this document was originally written against: mark-scheme-driven, per-exam-board style profiles; authentic past-paper look-and-feel with clear real-vs-AI-generated labelling; specification-referenced tagging down to the syllabus point; three answer-input modes (type / speak / photograph handwritten working, all marked by the same engine); and a large new “ideas worth borrowing” section covering Seneca, Tassomai, CENTURY Tech, Sparx Maths, IXL, Educake and Third Space Learning. This section reconciles the two documents so nothing gets proposed twice and the genuinely open gaps stay visible.</w:t>
      </w:r>
    </w:p>
    <w:p>
      <w:pPr>
        <w:pStyle w:val="Heading2"/>
        <w:spacing w:after="120" w:before="300"/>
      </w:pPr>
      <w:r>
        <w:rPr>
          <w:b/>
          <w:bCs/>
          <w:color w:val="1F3864"/>
          <w:sz w:val="25"/>
          <w:szCs w:val="25"/>
        </w:rPr>
        <w:t xml:space="preserve">Independently converging — good confirmation signal</w:t>
      </w:r>
    </w:p>
    <w:p>
      <w:pPr>
        <w:spacing w:after="110"/>
      </w:pPr>
      <w:r>
        <w:rPr>
          <w:color w:val="262626"/>
          <w:sz w:val="21"/>
          <w:szCs w:val="21"/>
        </w:rPr>
        <w:t xml:space="preserve">Several v3 additions land on the same idea as an item already in Section 4 of this document, arrived at independently from different research. That convergence is worth noting to the stakeholder as a confidence signal, not a redundancy problem:</w:t>
      </w:r>
    </w:p>
    <w:p>
      <w:pPr>
        <w:pStyle w:val="ListParagraph"/>
        <w:numPr>
          <w:ilvl w:val="0"/>
          <w:numId w:val="2"/>
        </w:numPr>
        <w:spacing w:after="60"/>
      </w:pPr>
      <w:r>
        <w:rPr>
          <w:color w:val="262626"/>
          <w:sz w:val="21"/>
          <w:szCs w:val="21"/>
        </w:rPr>
        <w:t xml:space="preserve">v3’s live spoken AI tutor (“Skye”/“Amelia” pattern) = Section 4.3’s voice/oral practice mode.</w:t>
      </w:r>
    </w:p>
    <w:p>
      <w:pPr>
        <w:pStyle w:val="ListParagraph"/>
        <w:numPr>
          <w:ilvl w:val="0"/>
          <w:numId w:val="2"/>
        </w:numPr>
        <w:spacing w:after="60"/>
      </w:pPr>
      <w:r>
        <w:rPr>
          <w:color w:val="262626"/>
          <w:sz w:val="21"/>
          <w:szCs w:val="21"/>
        </w:rPr>
        <w:t xml:space="preserve">v3’s dyslexia-friendly font, adjustable spacing and colour/contrast settings = Section 4.6’s SEND/accessibility-aware AI differentiation.</w:t>
      </w:r>
    </w:p>
    <w:p>
      <w:pPr>
        <w:pStyle w:val="ListParagraph"/>
        <w:numPr>
          <w:ilvl w:val="0"/>
          <w:numId w:val="2"/>
        </w:numPr>
        <w:spacing w:after="60"/>
      </w:pPr>
      <w:r>
        <w:rPr>
          <w:color w:val="262626"/>
          <w:sz w:val="21"/>
          <w:szCs w:val="21"/>
        </w:rPr>
        <w:t xml:space="preserve">v3’s in-session, question-by-question difficulty adaptation = the moment-to-moment behaviour Section 4.2’s pedagogical strategy controller is built to drive.</w:t>
      </w:r>
    </w:p>
    <w:p>
      <w:pPr>
        <w:pStyle w:val="ListParagraph"/>
        <w:numPr>
          <w:ilvl w:val="0"/>
          <w:numId w:val="2"/>
        </w:numPr>
        <w:spacing w:after="60"/>
      </w:pPr>
      <w:r>
        <w:rPr>
          <w:color w:val="262626"/>
          <w:sz w:val="21"/>
          <w:szCs w:val="21"/>
        </w:rPr>
        <w:t xml:space="preserve">v3’s CENTURY-style early-warning alerts for parents/teachers = a faster-triggered variant of Section 4.5’s narrative reporting layer.</w:t>
      </w:r>
    </w:p>
    <w:p>
      <w:pPr>
        <w:pStyle w:val="ListParagraph"/>
        <w:numPr>
          <w:ilvl w:val="0"/>
          <w:numId w:val="2"/>
        </w:numPr>
        <w:spacing w:after="60"/>
      </w:pPr>
      <w:r>
        <w:rPr>
          <w:color w:val="262626"/>
          <w:sz w:val="21"/>
          <w:szCs w:val="21"/>
        </w:rPr>
        <w:t xml:space="preserve">v3’s Tassomai-style visual “knowledge map”/skill tree = Section 4.6’s mastery-based gamification, expressed as a specific UI pattern.</w:t>
      </w:r>
    </w:p>
    <w:p>
      <w:pPr>
        <w:pStyle w:val="Heading2"/>
        <w:spacing w:after="120" w:before="300"/>
      </w:pPr>
      <w:r>
        <w:rPr>
          <w:b/>
          <w:bCs/>
          <w:color w:val="1F3864"/>
          <w:sz w:val="25"/>
          <w:szCs w:val="25"/>
        </w:rPr>
        <w:t xml:space="preserve">Still net-new — not covered by v3</w:t>
      </w:r>
    </w:p>
    <w:p>
      <w:pPr>
        <w:spacing w:after="110"/>
      </w:pPr>
      <w:r>
        <w:rPr>
          <w:color w:val="262626"/>
          <w:sz w:val="21"/>
          <w:szCs w:val="21"/>
        </w:rPr>
        <w:t xml:space="preserve">These remain the genuine gap this document fills, and are worth keeping on the roadmap as-is:</w:t>
      </w:r>
    </w:p>
    <w:p>
      <w:pPr>
        <w:pStyle w:val="ListParagraph"/>
        <w:numPr>
          <w:ilvl w:val="0"/>
          <w:numId w:val="2"/>
        </w:numPr>
        <w:spacing w:after="60"/>
      </w:pPr>
      <w:r>
        <w:rPr>
          <w:color w:val="262626"/>
          <w:sz w:val="21"/>
          <w:szCs w:val="21"/>
        </w:rPr>
        <w:t xml:space="preserve">The underlying engagement/focus telemetry itself (Section 4.1) — v3’s in-session difficulty adaptation says what to serve next once a struggle is detected; it doesn’t yet specify how the system notices a student has gone idle, is guessing, or has quietly disengaged. That detection layer is still the missing piece.</w:t>
      </w:r>
    </w:p>
    <w:p>
      <w:pPr>
        <w:pStyle w:val="ListParagraph"/>
        <w:numPr>
          <w:ilvl w:val="0"/>
          <w:numId w:val="2"/>
        </w:numPr>
        <w:spacing w:after="60"/>
      </w:pPr>
      <w:r>
        <w:rPr>
          <w:color w:val="262626"/>
          <w:sz w:val="21"/>
          <w:szCs w:val="21"/>
        </w:rPr>
        <w:t xml:space="preserve">The BKT → DKT knowledge-tracing graduation path and IRT-based adaptive placement (Section 4.2) — the specific mastery-estimation mechanics behind “adaptive,” not just the behaviour.</w:t>
      </w:r>
    </w:p>
    <w:p>
      <w:pPr>
        <w:pStyle w:val="ListParagraph"/>
        <w:numPr>
          <w:ilvl w:val="0"/>
          <w:numId w:val="2"/>
        </w:numPr>
        <w:spacing w:after="60"/>
      </w:pPr>
      <w:r>
        <w:rPr>
          <w:color w:val="262626"/>
          <w:sz w:val="21"/>
          <w:szCs w:val="21"/>
        </w:rPr>
        <w:t xml:space="preserve">Confidence-calibration prompts (Section 4.2).</w:t>
      </w:r>
    </w:p>
    <w:p>
      <w:pPr>
        <w:pStyle w:val="ListParagraph"/>
        <w:numPr>
          <w:ilvl w:val="0"/>
          <w:numId w:val="2"/>
        </w:numPr>
        <w:spacing w:after="60"/>
      </w:pPr>
      <w:r>
        <w:rPr>
          <w:color w:val="262626"/>
          <w:sz w:val="21"/>
          <w:szCs w:val="21"/>
        </w:rPr>
        <w:t xml:space="preserve">The tiered AI-marking research and recommended human-review threshold for A-Level long-form answers (Section 4.4), including the accuracy figures from the 2026 physics-grading study.</w:t>
      </w:r>
    </w:p>
    <w:p>
      <w:pPr>
        <w:pStyle w:val="ListParagraph"/>
        <w:numPr>
          <w:ilvl w:val="0"/>
          <w:numId w:val="2"/>
        </w:numPr>
        <w:spacing w:after="60"/>
      </w:pPr>
      <w:r>
        <w:rPr>
          <w:color w:val="262626"/>
          <w:sz w:val="21"/>
          <w:szCs w:val="21"/>
        </w:rPr>
        <w:t xml:space="preserve">The technical architecture mapped to a Java/Spring Boot + Oracle/MySQL core (Section 5).</w:t>
      </w:r>
    </w:p>
    <w:p>
      <w:pPr>
        <w:pStyle w:val="ListParagraph"/>
        <w:numPr>
          <w:ilvl w:val="0"/>
          <w:numId w:val="2"/>
        </w:numPr>
        <w:spacing w:after="60"/>
      </w:pPr>
      <w:r>
        <w:rPr>
          <w:color w:val="262626"/>
          <w:sz w:val="21"/>
          <w:szCs w:val="21"/>
        </w:rPr>
        <w:t xml:space="preserve">The UK ICO Age Appropriate Design Code guardrails (Section 6) — if anything, v3’s new gamification, skill-tree and daily-micro-goal ideas make this review more urgent, not less, since they are exactly the kind of engagement mechanics the Code’s nudge-technique rules scrutinise.</w:t>
      </w:r>
    </w:p>
    <w:p>
      <w:pPr>
        <w:pStyle w:val="Heading2"/>
        <w:spacing w:after="120" w:before="300"/>
      </w:pPr>
      <w:r>
        <w:rPr>
          <w:b/>
          <w:bCs/>
          <w:color w:val="1F3864"/>
          <w:sz w:val="25"/>
          <w:szCs w:val="25"/>
        </w:rPr>
        <w:t xml:space="preserve">v3 additions that extend an existing item, not just duplicate it</w:t>
      </w:r>
    </w:p>
    <w:p>
      <w:pPr>
        <w:pStyle w:val="ListParagraph"/>
        <w:numPr>
          <w:ilvl w:val="0"/>
          <w:numId w:val="2"/>
        </w:numPr>
        <w:spacing w:after="60"/>
      </w:pPr>
      <w:r>
        <w:rPr>
          <w:color w:val="262626"/>
          <w:sz w:val="21"/>
          <w:szCs w:val="21"/>
        </w:rPr>
        <w:t xml:space="preserve">v3’s three answer-input modes (type / speak / photograph handwritten working) all feed “the same marking logic” per the brief — which means the tiered marking approach and human-review threshold from Section 4.4 need to cover photographed handwriting too, not just typed long-form answers. Handwriting OCR adds a second error source on top of the long-form grading accuracy limits already flagged, so if anything this raises the case for a human-review threshold at launch rather than lowering it.</w:t>
      </w:r>
    </w:p>
    <w:p>
      <w:pPr>
        <w:pStyle w:val="ListParagraph"/>
        <w:numPr>
          <w:ilvl w:val="0"/>
          <w:numId w:val="2"/>
        </w:numPr>
        <w:spacing w:after="60"/>
      </w:pPr>
      <w:r>
        <w:rPr>
          <w:color w:val="262626"/>
          <w:sz w:val="21"/>
          <w:szCs w:val="21"/>
        </w:rPr>
        <w:t xml:space="preserve">v3’s “authentic look and feel” and “no skip / no going back” requirement for genuinely adaptive entrance tests makes the IRT-based adaptive-testing engine (Section 4.2) load-bearing infrastructure for the 11+ product, not an optional extra.</w:t>
      </w:r>
    </w:p>
    <w:p>
      <w:pPr>
        <w:pStyle w:val="ListParagraph"/>
        <w:numPr>
          <w:ilvl w:val="0"/>
          <w:numId w:val="2"/>
        </w:numPr>
        <w:spacing w:after="60"/>
      </w:pPr>
      <w:r>
        <w:rPr>
          <w:color w:val="262626"/>
          <w:sz w:val="21"/>
          <w:szCs w:val="21"/>
        </w:rPr>
        <w:t xml:space="preserve">v3’s new idea of supplementing the question bank with material “pulled in from elsewhere online” should be run through the same safety/moderation and licensing lens as Section 4.6 — the sourcing note in Section 11 below (physicsandmathstutor.com’s own terms) is a concrete, live example of exactly why that review matters.</w:t>
      </w:r>
    </w:p>
    <w:p>
      <w:pPr>
        <w:pStyle w:val="Heading1"/>
        <w:pBdr>
          <w:bottom w:val="single" w:color="1F3864" w:sz="8" w:space="4"/>
        </w:pBdr>
        <w:spacing w:after="160" w:before="400"/>
      </w:pPr>
      <w:r>
        <w:rPr>
          <w:b/>
          <w:bCs/>
          <w:color w:val="1F3864"/>
          <w:sz w:val="30"/>
          <w:szCs w:val="30"/>
        </w:rPr>
        <w:t xml:space="preserve">11. Pilot Kickoff — GCSE &amp; iGCSE Chemistry</w:t>
      </w:r>
    </w:p>
    <w:p>
      <w:pPr>
        <w:spacing w:after="110"/>
      </w:pPr>
      <w:r>
        <w:rPr>
          <w:color w:val="262626"/>
          <w:sz w:val="21"/>
          <w:szCs w:val="21"/>
        </w:rPr>
        <w:t xml:space="preserve">Arshad’s email confirms the starting point: GCSE and iGCSE Chemistry, across all five GCSE boards (AQA, Edexcel, OCR, Eduqas, WJEC), sourced initially from physicsandmathstutor.com (PMT) for revision notes, flashcard content and past papers — matching v3’s own suggestion that GCSE/iGCSE Chemistry differ mainly in ordering and question style rather than underlying content, making it a sound, contained pilot.</w:t>
      </w:r>
    </w:p>
    <w:p>
      <w:pPr>
        <w:pStyle w:val="Heading2"/>
        <w:spacing w:after="120" w:before="300"/>
      </w:pPr>
      <w:r>
        <w:rPr>
          <w:b/>
          <w:bCs/>
          <w:color w:val="1F3864"/>
          <w:sz w:val="25"/>
          <w:szCs w:val="25"/>
        </w:rPr>
        <w:t xml:space="preserve">Sourcing question — recommend against PMT as the platform’s content source</w:t>
      </w:r>
    </w:p>
    <w:p>
      <w:pPr>
        <w:spacing w:after="110"/>
      </w:pPr>
      <w:r>
        <w:rPr>
          <w:color w:val="262626"/>
          <w:sz w:val="21"/>
          <w:szCs w:val="21"/>
        </w:rPr>
        <w:t xml:space="preserve">PMT’s own Legal Notices are explicit: “Any redistribution or reproduction of part or all of the contents in any form is prohibited other than printing or downloading to a local hard drive extracts for your personal and non-commercial use only,” “you may not… distribute or commercially exploit the content,” and content may not be “transmitted or stored in any other website or other form of electronic retrieval system” without written permission. That rules out using PMT as the underlying source for the platform’s content or AI reference library outright — the restriction is on reproducing/storing the material, so it applies whether the content is scraped programmatically or downloaded by hand and re-uploaded; the collection method Arshad asked about doesn’t change the answer.</w:t>
      </w:r>
    </w:p>
    <w:p>
      <w:pPr>
        <w:pBdr>
          <w:top w:val="single" w:color="1F3864" w:sz="4" w:space="4"/>
          <w:bottom w:val="single" w:color="1F3864" w:sz="4" w:space="4"/>
          <w:left w:val="single" w:color="1F3864" w:sz="4" w:space="4"/>
          <w:right w:val="single" w:color="1F3864" w:sz="4" w:space="4"/>
        </w:pBdr>
        <w:shd w:fill="EEF3F7" w:val="clear"/>
        <w:spacing w:after="220" w:before="100"/>
        <w:ind w:left="144" w:right="144"/>
      </w:pPr>
      <w:r>
        <w:rPr>
          <w:b/>
          <w:bCs/>
          <w:color w:val="1F3864"/>
          <w:sz w:val="20"/>
          <w:szCs w:val="20"/>
        </w:rPr>
        <w:t xml:space="preserve">Recommendation: </w:t>
      </w:r>
      <w:r>
        <w:rPr>
          <w:color w:val="262626"/>
          <w:sz w:val="20"/>
          <w:szCs w:val="20"/>
        </w:rPr>
        <w:t xml:space="preserve">Two safer paths, both already consistent with what v3 itself specifies: (1) source real past papers and official mark schemes directly from each exam board’s own public downloads — AQA, Pearson/Edexcel, OCR, Eduqas and WJEC all publish these for free, and this is exactly the “official mark schemes you supply, each exam board’s own” reference library v3 already calls for; (2) commission original revision notes and flashcards, AI-rewritten in the platform’s own words from the specification, exactly as v3’s own copyright note for revision notes already requires (“the AI should rewrite the content in its own words rather than reproduce it”). PMT remains useful informally as a reference for what good structure and tone look like, but not as a source of record.</w:t>
      </w:r>
    </w:p>
    <w:p>
      <w:pPr>
        <w:pStyle w:val="Heading2"/>
        <w:spacing w:after="120" w:before="300"/>
      </w:pPr>
      <w:r>
        <w:rPr>
          <w:b/>
          <w:bCs/>
          <w:color w:val="1F3864"/>
          <w:sz w:val="25"/>
          <w:szCs w:val="25"/>
        </w:rPr>
        <w:t xml:space="preserve">Topic scaffold</w:t>
      </w:r>
    </w:p>
    <w:p>
      <w:pPr>
        <w:spacing w:after="110"/>
      </w:pPr>
      <w:r>
        <w:rPr>
          <w:color w:val="262626"/>
          <w:sz w:val="21"/>
          <w:szCs w:val="21"/>
        </w:rPr>
        <w:t xml:space="preserve">A companion spreadsheet, “GCSE_iGCSE_Chemistry_Pilot_Scaffold.xlsx”, is attached alongside this document. It maps the real top-level topic breakdown for all five GCSE boards plus both common iGCSE options (Edexcel International GCSE 4CH1 and Cambridge IGCSE 0620/0971), pulled from each board’s own published specification, ready to expand into full specification-point-level tags (e.g. “AQA GCSE Chemistry 4.6.1 Rates of reaction”) per v3’s tagging scheme. It also includes a per-board style-profile sheet for the wording/format differences the question-generation engine needs to keep distinct, and the content-sourcing decision log summarising the recommendation above.</w:t>
      </w:r>
    </w:p>
    <w:p>
      <w:pPr>
        <w:spacing w:after="110"/>
      </w:pPr>
      <w:r>
        <w:rPr>
          <w:color w:val="262626"/>
          <w:sz w:val="21"/>
          <w:szCs w:val="21"/>
        </w:rPr>
        <w:t xml:space="preserve">One open question for Arshad worth clarifying before the content model is finalised: which iGCSE board he means. Edexcel International GCSE (4CH1) groups content into 4 broad areas; Cambridge IGCSE (0620/0971) has 12 topics at roughly GCSE-equivalent granularity — the two don’t map cleanly onto each other, and PMT itself lists them as separate categories (CAIE and Edexcel IGCSE). This affects the data model, so it’s worth a one-line confirmation from him rather than assuming.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2026-09-01T09:16:55.512Z</dcterms:created>
  <dcterms:modified xsi:type="dcterms:W3CDTF">2026-09-01T09:16:55.512Z</dcterms:modified>
</cp:coreProperties>
</file>

<file path=docProps/custom.xml><?xml version="1.0" encoding="utf-8"?>
<Properties xmlns="http://schemas.openxmlformats.org/officeDocument/2006/custom-properties" xmlns:vt="http://schemas.openxmlformats.org/officeDocument/2006/docPropsVTypes"/>
</file>