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1F3864"/>
          <w:sz w:val="44"/>
          <w:szCs w:val="44"/>
        </w:rPr>
        <w:t xml:space="preserve">Design System &amp; Visual Language</w:t>
      </w:r>
    </w:p>
    <w:p>
      <w:pPr>
        <w:spacing w:after="240"/>
      </w:pPr>
      <w:r>
        <w:rPr>
          <w:rFonts w:ascii="Arial" w:cs="Arial" w:eastAsia="Arial" w:hAnsi="Arial"/>
          <w:i/>
          <w:iCs/>
          <w:color w:val="555555"/>
          <w:sz w:val="24"/>
          <w:szCs w:val="24"/>
        </w:rPr>
        <w:t xml:space="preserve">Online Exam-Prep Platform — Web &amp; Native Mobile (iOS / Android)</w:t>
      </w:r>
    </w:p>
    <w:p>
      <w:pPr>
        <w:spacing w:after="140"/>
      </w:pPr>
      <w:r>
        <w:rPr>
          <w:rFonts w:ascii="Arial" w:cs="Arial" w:eastAsia="Arial" w:hAnsi="Arial"/>
          <w:i w:val="false"/>
          <w:iCs w:val="false"/>
          <w:color w:val="555555"/>
          <w:sz w:val="20"/>
          <w:szCs w:val="20"/>
        </w:rPr>
        <w:t xml:space="preserve">Prepared for: Arshad Ashraf  ·  Prepared by: Murtaza — Karsaaz Solutions  ·  14 September 2026</w:t>
      </w:r>
    </w:p>
    <w:p>
      <w:pPr>
        <w:spacing w:after="140"/>
      </w:pPr>
      <w:r>
        <w:rPr>
          <w:rFonts w:ascii="Arial" w:cs="Arial" w:eastAsia="Arial" w:hAnsi="Arial"/>
          <w:i w:val="false"/>
          <w:iCs w:val="false"/>
          <w:color w:val="1a1a1a"/>
          <w:sz w:val="20"/>
          <w:szCs w:val="20"/>
        </w:rPr>
        <w:t xml:space="preserve">Companion document to Screen_Inventory.xlsx (94 screens mapped from the 99-story User Story Catalogue) and Technical_Architecture_and_Build_Prerequisites.docx (v2, final). This is the visual/UX rulebook that the screen-by-screen design pass — in Figma, once the Canva connector is reconnected — will follow exactly, so that all ~94 screens come out as one coherent product rather than 94 separate guesses.</w:t>
      </w:r>
    </w:p>
    <w:p>
      <w:pPr>
        <w:pStyle w:val="Heading2"/>
        <w:spacing w:after="120" w:before="260"/>
      </w:pPr>
      <w:r>
        <w:rPr>
          <w:rFonts w:ascii="Arial" w:cs="Arial" w:eastAsia="Arial" w:hAnsi="Arial"/>
          <w:b/>
          <w:bCs/>
          <w:color w:val="1F3864"/>
          <w:sz w:val="24"/>
          <w:szCs w:val="24"/>
        </w:rPr>
        <w:t xml:space="preserve">Purpose &amp; How To Use This Document</w:t>
      </w:r>
    </w:p>
    <w:p>
      <w:pPr>
        <w:spacing w:after="140"/>
      </w:pPr>
      <w:r>
        <w:rPr>
          <w:rFonts w:ascii="Arial" w:cs="Arial" w:eastAsia="Arial" w:hAnsi="Arial"/>
          <w:i w:val="false"/>
          <w:iCs w:val="false"/>
          <w:color w:val="1a1a1a"/>
          <w:sz w:val="20"/>
          <w:szCs w:val="20"/>
        </w:rPr>
        <w:t xml:space="preserve">This is not a moodboard. Every decision below is intended to be applied literally and consistently across every screen in Screen_Inventory.xlsx, on both web and native mobile. Where a rule differs by age tier or platform, that is called out explicitly — otherwise assume it applies everywhere.</w:t>
      </w:r>
    </w:p>
    <w:p>
      <w:pPr>
        <w:pStyle w:val="ListParagraph"/>
        <w:numPr>
          <w:ilvl w:val="0"/>
          <w:numId w:val="2"/>
        </w:numPr>
        <w:spacing w:after="90"/>
      </w:pPr>
      <w:r>
        <w:rPr>
          <w:rFonts w:ascii="Arial" w:cs="Arial" w:eastAsia="Arial" w:hAnsi="Arial"/>
          <w:sz w:val="20"/>
          <w:szCs w:val="20"/>
        </w:rPr>
        <w:t xml:space="preserve">Section 1 — where this product sits against today's UK ed-tech competition, and what we deliberately take or leave from each.</w:t>
      </w:r>
    </w:p>
    <w:p>
      <w:pPr>
        <w:pStyle w:val="ListParagraph"/>
        <w:numPr>
          <w:ilvl w:val="0"/>
          <w:numId w:val="2"/>
        </w:numPr>
        <w:spacing w:after="90"/>
      </w:pPr>
      <w:r>
        <w:rPr>
          <w:rFonts w:ascii="Arial" w:cs="Arial" w:eastAsia="Arial" w:hAnsi="Arial"/>
          <w:sz w:val="20"/>
          <w:szCs w:val="20"/>
        </w:rPr>
        <w:t xml:space="preserve">Section 2 — the product's core design principles (the "why" behind every rule that follows).</w:t>
      </w:r>
    </w:p>
    <w:p>
      <w:pPr>
        <w:pStyle w:val="ListParagraph"/>
        <w:numPr>
          <w:ilvl w:val="0"/>
          <w:numId w:val="2"/>
        </w:numPr>
        <w:spacing w:after="90"/>
      </w:pPr>
      <w:r>
        <w:rPr>
          <w:rFonts w:ascii="Arial" w:cs="Arial" w:eastAsia="Arial" w:hAnsi="Arial"/>
          <w:sz w:val="20"/>
          <w:szCs w:val="20"/>
        </w:rPr>
        <w:t xml:space="preserve">Section 3 — the age-tiered visual system: four distinct "modes" of the same product for 11+, GCSE/iGCSE, A-Level, and Parent/Teacher/School users.</w:t>
      </w:r>
    </w:p>
    <w:p>
      <w:pPr>
        <w:pStyle w:val="ListParagraph"/>
        <w:numPr>
          <w:ilvl w:val="0"/>
          <w:numId w:val="2"/>
        </w:numPr>
        <w:spacing w:after="90"/>
      </w:pPr>
      <w:r>
        <w:rPr>
          <w:rFonts w:ascii="Arial" w:cs="Arial" w:eastAsia="Arial" w:hAnsi="Arial"/>
          <w:sz w:val="20"/>
          <w:szCs w:val="20"/>
        </w:rPr>
        <w:t xml:space="preserve">Sections 4–6 — colour, typography, spacing/grid tokens.</w:t>
      </w:r>
    </w:p>
    <w:p>
      <w:pPr>
        <w:pStyle w:val="ListParagraph"/>
        <w:numPr>
          <w:ilvl w:val="0"/>
          <w:numId w:val="2"/>
        </w:numPr>
        <w:spacing w:after="90"/>
      </w:pPr>
      <w:r>
        <w:rPr>
          <w:rFonts w:ascii="Arial" w:cs="Arial" w:eastAsia="Arial" w:hAnsi="Arial"/>
          <w:sz w:val="20"/>
          <w:szCs w:val="20"/>
        </w:rPr>
        <w:t xml:space="preserve">Section 7 — the core component library (cards, buttons, navigation, the question engine, the voice tutor UI, mastery visualisation).</w:t>
      </w:r>
    </w:p>
    <w:p>
      <w:pPr>
        <w:pStyle w:val="ListParagraph"/>
        <w:numPr>
          <w:ilvl w:val="0"/>
          <w:numId w:val="2"/>
        </w:numPr>
        <w:spacing w:after="90"/>
      </w:pPr>
      <w:r>
        <w:rPr>
          <w:rFonts w:ascii="Arial" w:cs="Arial" w:eastAsia="Arial" w:hAnsi="Arial"/>
          <w:sz w:val="20"/>
          <w:szCs w:val="20"/>
        </w:rPr>
        <w:t xml:space="preserve">Section 8 — motion &amp; animation principles, moment by moment.</w:t>
      </w:r>
    </w:p>
    <w:p>
      <w:pPr>
        <w:pStyle w:val="ListParagraph"/>
        <w:numPr>
          <w:ilvl w:val="0"/>
          <w:numId w:val="2"/>
        </w:numPr>
        <w:spacing w:after="90"/>
      </w:pPr>
      <w:r>
        <w:rPr>
          <w:rFonts w:ascii="Arial" w:cs="Arial" w:eastAsia="Arial" w:hAnsi="Arial"/>
          <w:sz w:val="20"/>
          <w:szCs w:val="20"/>
        </w:rPr>
        <w:t xml:space="preserve">Section 9 — iconography &amp; illustration style.</w:t>
      </w:r>
    </w:p>
    <w:p>
      <w:pPr>
        <w:pStyle w:val="ListParagraph"/>
        <w:numPr>
          <w:ilvl w:val="0"/>
          <w:numId w:val="2"/>
        </w:numPr>
        <w:spacing w:after="90"/>
      </w:pPr>
      <w:r>
        <w:rPr>
          <w:rFonts w:ascii="Arial" w:cs="Arial" w:eastAsia="Arial" w:hAnsi="Arial"/>
          <w:sz w:val="20"/>
          <w:szCs w:val="20"/>
        </w:rPr>
        <w:t xml:space="preserve">Section 10 — accessibility &amp; UK compliance tie-in (WCAG, AADC, OSA).</w:t>
      </w:r>
    </w:p>
    <w:p>
      <w:pPr>
        <w:pStyle w:val="ListParagraph"/>
        <w:numPr>
          <w:ilvl w:val="0"/>
          <w:numId w:val="2"/>
        </w:numPr>
        <w:spacing w:after="90"/>
      </w:pPr>
      <w:r>
        <w:rPr>
          <w:rFonts w:ascii="Arial" w:cs="Arial" w:eastAsia="Arial" w:hAnsi="Arial"/>
          <w:sz w:val="20"/>
          <w:szCs w:val="20"/>
        </w:rPr>
        <w:t xml:space="preserve">Section 11 — platform implementation notes (React web, SwiftUI iOS, Jetpack Compose Android) and the design-token structure that keeps all three in sync.</w:t>
      </w:r>
    </w:p>
    <w:p>
      <w:pPr>
        <w:pStyle w:val="ListParagraph"/>
        <w:numPr>
          <w:ilvl w:val="0"/>
          <w:numId w:val="2"/>
        </w:numPr>
        <w:spacing w:after="90"/>
      </w:pPr>
      <w:r>
        <w:rPr>
          <w:rFonts w:ascii="Arial" w:cs="Arial" w:eastAsia="Arial" w:hAnsi="Arial"/>
          <w:sz w:val="20"/>
          <w:szCs w:val="20"/>
        </w:rPr>
        <w:t xml:space="preserve">Section 12 — what happens next once Canva is reconnected.</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1. Competitive Design Landscape</w:t>
      </w:r>
    </w:p>
    <w:p>
      <w:pPr>
        <w:spacing w:after="140"/>
      </w:pPr>
      <w:r>
        <w:rPr>
          <w:rFonts w:ascii="Arial" w:cs="Arial" w:eastAsia="Arial" w:hAnsi="Arial"/>
          <w:i w:val="false"/>
          <w:iCs w:val="false"/>
          <w:color w:val="1a1a1a"/>
          <w:sz w:val="20"/>
          <w:szCs w:val="20"/>
        </w:rPr>
        <w:t xml:space="preserve">The brief positions this product as an Atom Learning-equivalent with extensions (voice tutoring from day one, AI-assisted long-form marking, wider subject/board coverage). The table below is the working reference for what "good" looks like in this category today, and what this product should take from each versus deliberately avoid.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606"/>
      </w:tblGrid>
      <w:tr>
        <w:trPr>
          <w:tblHeader/>
        </w:trPr>
        <w:tc>
          <w:tcPr>
            <w:tcW w:type="dxa" w:w="15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Product</w:t>
            </w:r>
          </w:p>
        </w:tc>
        <w:tc>
          <w:tcPr>
            <w:tcW w:type="dxa" w:w="29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they do well</w:t>
            </w:r>
          </w:p>
        </w:tc>
        <w:tc>
          <w:tcPr>
            <w:tcW w:type="dxa" w:w="29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we adopt</w:t>
            </w:r>
          </w:p>
        </w:tc>
        <w:tc>
          <w:tcPr>
            <w:tcW w:type="dxa" w:w="26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we avoid</w:t>
            </w:r>
          </w:p>
        </w:tc>
      </w:tr>
      <w:tr>
        <w:tc>
          <w:tcPr>
            <w:tcW w:type="dxa" w:w="1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Atom Learning</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Clean, confident 11+ exam UI; strong parent-facing progress reporting; calm, low-clutter question screens.</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 calm, low-clutter question screen as our baseline layout; parent dashboard clarity.</w:t>
            </w:r>
          </w:p>
        </w:tc>
        <w:tc>
          <w:tcPr>
            <w:tcW w:type="dxa" w:w="26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Their fairly narrow age band — we need this to flex from age 10 to 18 without feeling babyish or too corporate at either end.</w:t>
            </w:r>
          </w:p>
        </w:tc>
      </w:tr>
      <w:tr>
        <w:tc>
          <w:tcPr>
            <w:tcW w:type="dxa" w:w="1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Third Space Learning ("Skye")</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 named, friendly AI tutor persona with a consistent visual identity across sessions; warm, encouraging micro-copy.</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 single named, consistently-illustrated tutor persona for the voice/chat tutor (Section 7.6) — continuity builds trust with kids.</w:t>
            </w:r>
          </w:p>
        </w:tc>
        <w:tc>
          <w:tcPr>
            <w:tcW w:type="dxa" w:w="26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Overly cartoonish styling that would feel wrong for a 16-year-old doing A-Level Chemistry.</w:t>
            </w:r>
          </w:p>
        </w:tc>
      </w:tr>
      <w:tr>
        <w:tc>
          <w:tcPr>
            <w:tcW w:type="dxa" w:w="1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Khanmigo (Khan Academy)</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Restrained, text-forward AI chat UI; visible "reasoning trail" that makes AI answers feel trustworthy rather than magic.</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Showing working/reasoning transparently in marking feedback, not just a verdict — builds the trust the brief's &gt;95% marking-accuracy bar depends on.</w:t>
            </w:r>
          </w:p>
        </w:tc>
        <w:tc>
          <w:tcPr>
            <w:tcW w:type="dxa" w:w="26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Khan's very plain, low-brand visual system — we want more personality and colour than this.</w:t>
            </w:r>
          </w:p>
        </w:tc>
      </w:tr>
      <w:tr>
        <w:tc>
          <w:tcPr>
            <w:tcW w:type="dxa" w:w="1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Seneca Learning</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High energy, gamified, strong use of colour-coded confidence/mastery levels per topic.</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Colour-coded mastery levels (Section 7.5) as a core, always-visible pattern across every topic and subject.</w:t>
            </w:r>
          </w:p>
        </w:tc>
        <w:tc>
          <w:tcPr>
            <w:tcW w:type="dxa" w:w="26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Seneca's gamification is loud and constant — the brief holds gamification back for the pilot, so our system must support it later without needing it now.</w:t>
            </w:r>
          </w:p>
        </w:tc>
      </w:tr>
      <w:tr>
        <w:tc>
          <w:tcPr>
            <w:tcW w:type="dxa" w:w="1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CENTURY Tech</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Strong adaptive-learning visual language: a visible "nucleus"/map of topics and mastery, differentiated for teacher vs student view.</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 visual topic map / knowledge-tracing view (mirrors our BKT→DKT mastery model) shown differently to students vs teachers.</w:t>
            </w:r>
          </w:p>
        </w:tc>
        <w:tc>
          <w:tcPr>
            <w:tcW w:type="dxa" w:w="26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Their fairly dense, data-heavy default view for students — save that density for the Teacher/School Console.</w:t>
            </w:r>
          </w:p>
        </w:tc>
      </w:tr>
      <w:tr>
        <w:tc>
          <w:tcPr>
            <w:tcW w:type="dxa" w:w="1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IXL</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Extremely fast question-to-question flow; minimal chrome between questions; smart use of instant, specific feedback.</w:t>
            </w:r>
          </w:p>
        </w:tc>
        <w:tc>
          <w:tcPr>
            <w:tcW w:type="dxa" w:w="2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 zero-friction question loop: one question, one clear action, instant specific feedback, no unnecessary taps between questions.</w:t>
            </w:r>
          </w:p>
        </w:tc>
        <w:tc>
          <w:tcPr>
            <w:tcW w:type="dxa" w:w="26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IXL's dated, cluttered visual style and inconsistent iconography.</w:t>
            </w:r>
          </w:p>
        </w:tc>
      </w:tr>
      <w:tr>
        <w:tc>
          <w:tcPr>
            <w:tcW w:type="dxa" w:w="1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Educake</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Exam-board-accurate question framing; UK-specific tone and phrasing that matches how GCSE papers actually read.</w:t>
            </w:r>
          </w:p>
        </w:tc>
        <w:tc>
          <w:tcPr>
            <w:tcW w:type="dxa" w:w="2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Exact exam-board-style question framing and mark-scheme-accurate feedback language — critical for the marking-accuracy pilot goal.</w:t>
            </w:r>
          </w:p>
        </w:tc>
        <w:tc>
          <w:tcPr>
            <w:tcW w:type="dxa" w:w="26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Educake's very plain, low-investment visual design — this product needs to look and feel like a 2026 consumer product, not a school worksheet tool.</w:t>
            </w:r>
          </w:p>
        </w:tc>
      </w:tr>
    </w:tbl>
    <w:p>
      <w:pPr>
        <w:pStyle w:val="Heading2"/>
        <w:spacing w:after="120" w:before="260"/>
      </w:pPr>
      <w:r>
        <w:rPr>
          <w:rFonts w:ascii="Arial" w:cs="Arial" w:eastAsia="Arial" w:hAnsi="Arial"/>
          <w:b/>
          <w:bCs/>
          <w:color w:val="1F3864"/>
          <w:sz w:val="24"/>
          <w:szCs w:val="24"/>
        </w:rPr>
        <w:t xml:space="preserve">1.1 Positioning Statement</w:t>
      </w:r>
    </w:p>
    <w:p>
      <w:pPr>
        <w:spacing w:after="140"/>
      </w:pPr>
      <w:r>
        <w:rPr>
          <w:rFonts w:ascii="Arial" w:cs="Arial" w:eastAsia="Arial" w:hAnsi="Arial"/>
          <w:i w:val="false"/>
          <w:iCs w:val="false"/>
          <w:color w:val="1a1a1a"/>
          <w:sz w:val="20"/>
          <w:szCs w:val="20"/>
        </w:rPr>
        <w:t xml:space="preserve">Warmer and more personal than Khanmigo or Educake; calmer and more exam-serious than Seneca; wider in age range than Atom Learning; and — because of the voice tutor and AI marking transparency — more "alive" than any single competitor above. The product should feel like one trustworthy adult-in-the-room tutor whose presentation matures as the student does.</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2. Design Principles</w:t>
      </w:r>
    </w:p>
    <w:p>
      <w:pPr>
        <w:spacing w:after="80" w:before="200"/>
      </w:pPr>
      <w:r>
        <w:rPr>
          <w:rFonts w:ascii="Arial" w:cs="Arial" w:eastAsia="Arial" w:hAnsi="Arial"/>
          <w:b/>
          <w:bCs/>
          <w:color w:val="1F7A63"/>
          <w:sz w:val="21"/>
          <w:szCs w:val="21"/>
        </w:rPr>
        <w:t xml:space="preserve">1. One question at a time, always.</w:t>
      </w:r>
    </w:p>
    <w:p>
      <w:pPr>
        <w:spacing w:after="140"/>
      </w:pPr>
      <w:r>
        <w:rPr>
          <w:rFonts w:ascii="Arial" w:cs="Arial" w:eastAsia="Arial" w:hAnsi="Arial"/>
          <w:i w:val="false"/>
          <w:iCs w:val="false"/>
          <w:color w:val="1a1a1a"/>
          <w:sz w:val="20"/>
          <w:szCs w:val="20"/>
        </w:rPr>
        <w:t xml:space="preserve">The question screen is the product's centre of gravity (this is how students spend most of their time — 40+ of the 94 screens exist to support it). Never show more than the current question, its input method, and a clear primary action. Everything else — topic navigation, mastery, streaks — lives one tap away, never competing for attention on the question screen itself.</w:t>
      </w:r>
    </w:p>
    <w:p>
      <w:pPr>
        <w:spacing w:after="80" w:before="200"/>
      </w:pPr>
      <w:r>
        <w:rPr>
          <w:rFonts w:ascii="Arial" w:cs="Arial" w:eastAsia="Arial" w:hAnsi="Arial"/>
          <w:b/>
          <w:bCs/>
          <w:color w:val="1F7A63"/>
          <w:sz w:val="21"/>
          <w:szCs w:val="21"/>
        </w:rPr>
        <w:t xml:space="preserve">2. Feedback is specific, never just a verdict.</w:t>
      </w:r>
    </w:p>
    <w:p>
      <w:pPr>
        <w:spacing w:after="140"/>
      </w:pPr>
      <w:r>
        <w:rPr>
          <w:rFonts w:ascii="Arial" w:cs="Arial" w:eastAsia="Arial" w:hAnsi="Arial"/>
          <w:i w:val="false"/>
          <w:iCs w:val="false"/>
          <w:color w:val="1a1a1a"/>
          <w:sz w:val="20"/>
          <w:szCs w:val="20"/>
        </w:rPr>
        <w:t xml:space="preserve">"Correct"/"Incorrect" alone is not enough for an exam-prep product. Every marked answer shows what mark(s) were awarded and why, in exam-board mark-scheme language, matching the &gt;95% marking-accuracy trust goal from the pilot brief.</w:t>
      </w:r>
    </w:p>
    <w:p>
      <w:pPr>
        <w:spacing w:after="80" w:before="200"/>
      </w:pPr>
      <w:r>
        <w:rPr>
          <w:rFonts w:ascii="Arial" w:cs="Arial" w:eastAsia="Arial" w:hAnsi="Arial"/>
          <w:b/>
          <w:bCs/>
          <w:color w:val="1F7A63"/>
          <w:sz w:val="21"/>
          <w:szCs w:val="21"/>
        </w:rPr>
        <w:t xml:space="preserve">3. Mastery is always visible, never punitive.</w:t>
      </w:r>
    </w:p>
    <w:p>
      <w:pPr>
        <w:spacing w:after="140"/>
      </w:pPr>
      <w:r>
        <w:rPr>
          <w:rFonts w:ascii="Arial" w:cs="Arial" w:eastAsia="Arial" w:hAnsi="Arial"/>
          <w:i w:val="false"/>
          <w:iCs w:val="false"/>
          <w:color w:val="1a1a1a"/>
          <w:sz w:val="20"/>
          <w:szCs w:val="20"/>
        </w:rPr>
        <w:t xml:space="preserve">The mastery model (BKT→DKT) should be visualised as a living, improvable state — colour and motion communicate progress, never failure. No red "you failed" states; the lowest mastery tier is framed as "just getting started", not "weak".</w:t>
      </w:r>
    </w:p>
    <w:p>
      <w:pPr>
        <w:spacing w:after="80" w:before="200"/>
      </w:pPr>
      <w:r>
        <w:rPr>
          <w:rFonts w:ascii="Arial" w:cs="Arial" w:eastAsia="Arial" w:hAnsi="Arial"/>
          <w:b/>
          <w:bCs/>
          <w:color w:val="1F7A63"/>
          <w:sz w:val="21"/>
          <w:szCs w:val="21"/>
        </w:rPr>
        <w:t xml:space="preserve">4. The product grows up with the student.</w:t>
      </w:r>
    </w:p>
    <w:p>
      <w:pPr>
        <w:spacing w:after="140"/>
      </w:pPr>
      <w:r>
        <w:rPr>
          <w:rFonts w:ascii="Arial" w:cs="Arial" w:eastAsia="Arial" w:hAnsi="Arial"/>
          <w:i w:val="false"/>
          <w:iCs w:val="false"/>
          <w:color w:val="1a1a1a"/>
          <w:sz w:val="20"/>
          <w:szCs w:val="20"/>
        </w:rPr>
        <w:t xml:space="preserve">An 11-year-old and an 18-year-old are both using this product for high-stakes exams, but they should not see the same visual tone. See Section 3 — age-tiering is a first-class design system dimension, not a theme toggle.</w:t>
      </w:r>
    </w:p>
    <w:p>
      <w:pPr>
        <w:spacing w:after="80" w:before="200"/>
      </w:pPr>
      <w:r>
        <w:rPr>
          <w:rFonts w:ascii="Arial" w:cs="Arial" w:eastAsia="Arial" w:hAnsi="Arial"/>
          <w:b/>
          <w:bCs/>
          <w:color w:val="1F7A63"/>
          <w:sz w:val="21"/>
          <w:szCs w:val="21"/>
        </w:rPr>
        <w:t xml:space="preserve">5. Voice is a tutor, not a chatbot.</w:t>
      </w:r>
    </w:p>
    <w:p>
      <w:pPr>
        <w:spacing w:after="140"/>
      </w:pPr>
      <w:r>
        <w:rPr>
          <w:rFonts w:ascii="Arial" w:cs="Arial" w:eastAsia="Arial" w:hAnsi="Arial"/>
          <w:i w:val="false"/>
          <w:iCs w:val="false"/>
          <w:color w:val="1a1a1a"/>
          <w:sz w:val="20"/>
          <w:szCs w:val="20"/>
        </w:rPr>
        <w:t xml:space="preserve">The voice tutor (day-1 scope) should look and feel like a person you're talking to — a persistent, consistently-illustrated presence with clear listening/thinking/speaking states — never a generic assistant text-input box with a microphone icon bolted on.</w:t>
      </w:r>
    </w:p>
    <w:p>
      <w:pPr>
        <w:spacing w:after="80" w:before="200"/>
      </w:pPr>
      <w:r>
        <w:rPr>
          <w:rFonts w:ascii="Arial" w:cs="Arial" w:eastAsia="Arial" w:hAnsi="Arial"/>
          <w:b/>
          <w:bCs/>
          <w:color w:val="1F7A63"/>
          <w:sz w:val="21"/>
          <w:szCs w:val="21"/>
        </w:rPr>
        <w:t xml:space="preserve">6. Calm by default, celebratory on purpose.</w:t>
      </w:r>
    </w:p>
    <w:p>
      <w:pPr>
        <w:spacing w:after="140"/>
      </w:pPr>
      <w:r>
        <w:rPr>
          <w:rFonts w:ascii="Arial" w:cs="Arial" w:eastAsia="Arial" w:hAnsi="Arial"/>
          <w:i w:val="false"/>
          <w:iCs w:val="false"/>
          <w:color w:val="1a1a1a"/>
          <w:sz w:val="20"/>
          <w:szCs w:val="20"/>
        </w:rPr>
        <w:t xml:space="preserve">Default motion is minimal and quick (150–250ms) so the product never feels sluggish during rapid-fire practice. Bigger, warmer motion is reserved for moments that deserve it — a mastery level-up, finishing a past paper, a voice-tutor "nice work" — so celebration keeps its meaning (Section 8).</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3. Age-Tiered Visual System</w:t>
      </w:r>
    </w:p>
    <w:p>
      <w:pPr>
        <w:spacing w:after="140"/>
      </w:pPr>
      <w:r>
        <w:rPr>
          <w:rFonts w:ascii="Arial" w:cs="Arial" w:eastAsia="Arial" w:hAnsi="Arial"/>
          <w:i w:val="false"/>
          <w:iCs w:val="false"/>
          <w:color w:val="1a1a1a"/>
          <w:sz w:val="20"/>
          <w:szCs w:val="20"/>
        </w:rPr>
        <w:t xml:space="preserve">Four visual "modes" of one product, sharing the same components, grid, and interaction patterns (Sections 4–7) but differing in colour warmth, illustration style, density, and tone of voice. The underlying design tokens (Section 11.4) make this a themeable layer, not a rebuild.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000"/>
        <w:gridCol w:w="3506"/>
      </w:tblGrid>
      <w:tr>
        <w:trPr>
          <w:tblHeader/>
        </w:trPr>
        <w:tc>
          <w:tcPr>
            <w:tcW w:type="dxa" w:w="15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9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 / stage</w:t>
            </w:r>
          </w:p>
        </w:tc>
        <w:tc>
          <w:tcPr>
            <w:tcW w:type="dxa" w:w="30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Visual tone</w:t>
            </w:r>
          </w:p>
        </w:tc>
        <w:tc>
          <w:tcPr>
            <w:tcW w:type="dxa" w:w="35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Applied to</w:t>
            </w:r>
          </w:p>
        </w:tc>
      </w:tr>
      <w:tr>
        <w:tc>
          <w:tcPr>
            <w:tcW w:type="dxa" w:w="1500"/>
            <w:shd w:fill="FDF2E3"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1 — Foundation</w:t>
            </w:r>
          </w:p>
        </w:tc>
        <w:tc>
          <w:tcPr>
            <w:tcW w:type="dxa" w:w="1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10–11 (11+ prep)</w:t>
            </w:r>
          </w:p>
        </w:tc>
        <w:tc>
          <w:tcPr>
            <w:tcW w:type="dxa" w:w="30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Warmest palette, rounded corners (12–16px), friendly mascot-adjacent illustration for the tutor persona, larger tap targets, more generous whitespace.</w:t>
            </w:r>
          </w:p>
        </w:tc>
        <w:tc>
          <w:tcPr>
            <w:tcW w:type="dxa" w:w="3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11+ practice, revision, marking-feedback and voice-tutor screens (Epic C/D/J filtered to Key Stage "11+").</w:t>
            </w:r>
          </w:p>
        </w:tc>
      </w:tr>
      <w:tr>
        <w:tc>
          <w:tcPr>
            <w:tcW w:type="dxa" w:w="1500"/>
            <w:shd w:fill="E3EEFD"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2 — Core</w:t>
            </w:r>
          </w:p>
        </w:tc>
        <w:tc>
          <w:tcPr>
            <w:tcW w:type="dxa" w:w="1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12–16 (GCSE / iGCSE)</w:t>
            </w:r>
          </w:p>
        </w:tc>
        <w:tc>
          <w:tcPr>
            <w:tcW w:type="dxa" w:w="30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Confident, focused, moderate warmth — rounded corners (8–10px), illustration style shifts from mascot to abstract/geometric motifs, mastery colour-coding becomes more prominent than decoration.</w:t>
            </w:r>
          </w:p>
        </w:tc>
        <w:tc>
          <w:tcPr>
            <w:tcW w:type="dxa" w:w="3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 largest tier by screen count — all GCSE/iGCSE practice, past papers, revision, mock exams, marking feedback.</w:t>
            </w:r>
          </w:p>
        </w:tc>
      </w:tr>
      <w:tr>
        <w:tc>
          <w:tcPr>
            <w:tcW w:type="dxa" w:w="1500"/>
            <w:shd w:fill="E9E3F5"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3 — Advanced</w:t>
            </w:r>
          </w:p>
        </w:tc>
        <w:tc>
          <w:tcPr>
            <w:tcW w:type="dxa" w:w="19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16–18 (A-Level)</w:t>
            </w:r>
          </w:p>
        </w:tc>
        <w:tc>
          <w:tcPr>
            <w:tcW w:type="dxa" w:w="30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Cooler, lower-saturation palette, sharper corners (4–6px), illustration pared back to line-art, denser information display, tone shifts from encouraging to respectfully direct.</w:t>
            </w:r>
          </w:p>
        </w:tc>
        <w:tc>
          <w:tcPr>
            <w:tcW w:type="dxa" w:w="3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A-Level practice, marking, and revision screens.</w:t>
            </w:r>
          </w:p>
        </w:tc>
      </w:tr>
      <w:tr>
        <w:tc>
          <w:tcPr>
            <w:tcW w:type="dxa" w:w="1500"/>
            <w:shd w:fill="E8E8E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4 — Professional</w:t>
            </w:r>
          </w:p>
        </w:tc>
        <w:tc>
          <w:tcPr>
            <w:tcW w:type="dxa" w:w="19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Parent / Teacher / School Admin</w:t>
            </w:r>
          </w:p>
        </w:tc>
        <w:tc>
          <w:tcPr>
            <w:tcW w:type="dxa" w:w="30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Neutral, data-forward, near-zero illustration, higher information density, navy/grey dominant — this is the only tier that should feel like a dashboard rather than a learning app.</w:t>
            </w:r>
          </w:p>
        </w:tc>
        <w:tc>
          <w:tcPr>
            <w:tcW w:type="dxa" w:w="3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Parent Dashboard, Teacher/School Admin Console, Reporting screens.</w:t>
            </w:r>
          </w:p>
        </w:tc>
      </w:tr>
    </w:tbl>
    <w:p>
      <w:pPr>
        <w:spacing w:after="140"/>
      </w:pPr>
      <w:r>
        <w:rPr>
          <w:rFonts w:ascii="Arial" w:cs="Arial" w:eastAsia="Arial" w:hAnsi="Arial"/>
          <w:i w:val="false"/>
          <w:iCs w:val="false"/>
          <w:color w:val="1a1a1a"/>
          <w:sz w:val="20"/>
          <w:szCs w:val="20"/>
        </w:rPr>
        <w:t xml:space="preserve">The same underlying component (e.g. the question card, Section 7.2) is reused across all four tiers — only its token values (corner radius, accent colour, illustration asset, copy tone) change. No tier gets a structurally different layout; this keeps build cost sane across two native codebases and keeps the product recognisably "one thing" as a student ages through it over several years.</w:t>
      </w:r>
    </w:p>
    <w:p>
      <w:pPr>
        <w:spacing w:after="140"/>
      </w:pPr>
      <w:r>
        <w:rPr>
          <w:rFonts w:ascii="Arial" w:cs="Arial" w:eastAsia="Arial" w:hAnsi="Arial"/>
          <w:i w:val="false"/>
          <w:iCs w:val="false"/>
          <w:color w:val="1a1a1a"/>
          <w:sz w:val="20"/>
          <w:szCs w:val="20"/>
        </w:rPr>
        <w:t xml:space="preserve">Tone-of-voice note: Tier 1 copy uses first names and light encouragement ("Nice one, Sam!"); Tier 3 copy is respectful and brief ("Correct — full marks."); Tier 4 copy is neutral and factual. This copy-tone rule applies to every feedback string, empty state, and notification across the product.</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4. Colour System</w:t>
      </w:r>
    </w:p>
    <w:p>
      <w:pPr>
        <w:pStyle w:val="Heading2"/>
        <w:spacing w:after="120" w:before="260"/>
      </w:pPr>
      <w:r>
        <w:rPr>
          <w:rFonts w:ascii="Arial" w:cs="Arial" w:eastAsia="Arial" w:hAnsi="Arial"/>
          <w:b/>
          <w:bCs/>
          <w:color w:val="1F3864"/>
          <w:sz w:val="24"/>
          <w:szCs w:val="24"/>
        </w:rPr>
        <w:t xml:space="preserve">4.1 Brand &amp; Neutral Palette (shared across all tiers)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506"/>
      </w:tblGrid>
      <w:tr>
        <w:trPr>
          <w:tblHeader/>
        </w:trPr>
        <w:tc>
          <w:tcPr>
            <w:tcW w:type="dxa" w:w="20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Token</w:t>
            </w:r>
          </w:p>
        </w:tc>
        <w:tc>
          <w:tcPr>
            <w:tcW w:type="dxa" w:w="34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45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brand.navy</w:t>
            </w:r>
          </w:p>
        </w:tc>
        <w:tc>
          <w:tcPr>
            <w:tcW w:type="dxa" w:w="3400"/>
            <w:shd w:fill="1F3864"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#1F3864</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Primary brand colour — headers, primary nav, Tier 4 dashboards, logo.</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brand.teal</w:t>
            </w:r>
          </w:p>
        </w:tc>
        <w:tc>
          <w:tcPr>
            <w:tcW w:type="dxa" w:w="3400"/>
            <w:shd w:fill="1F7A63"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#1F7A63</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Secondary brand colour — AI/tutor-native surfaces (question-gen, marking, voice tutor).</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neutral.900</w:t>
            </w:r>
          </w:p>
        </w:tc>
        <w:tc>
          <w:tcPr>
            <w:tcW w:type="dxa" w:w="3400"/>
            <w:shd w:fill="1A1A1A"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#1A1A1A</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Primary text.</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neutral.600</w:t>
            </w:r>
          </w:p>
        </w:tc>
        <w:tc>
          <w:tcPr>
            <w:tcW w:type="dxa" w:w="3400"/>
            <w:shd w:fill="555555"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#555555</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Secondary text, captions.</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neutral.200</w:t>
            </w:r>
          </w:p>
        </w:tc>
        <w:tc>
          <w:tcPr>
            <w:tcW w:type="dxa" w:w="3400"/>
            <w:shd w:fill="E8E8E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#E8E8E8</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Dividers, disabled fills.</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neutral.050</w:t>
            </w:r>
          </w:p>
        </w:tc>
        <w:tc>
          <w:tcPr>
            <w:tcW w:type="dxa" w:w="3400"/>
            <w:shd w:fill="F4F6F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#F4F6F9</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 background (light mode).</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surface.white</w:t>
            </w:r>
          </w:p>
        </w:tc>
        <w:tc>
          <w:tcPr>
            <w:tcW w:type="dxa" w:w="3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#FFFFFF</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Card / surface background.</w:t>
            </w:r>
          </w:p>
        </w:tc>
      </w:tr>
    </w:tbl>
    <w:p>
      <w:pPr>
        <w:pStyle w:val="Heading2"/>
        <w:spacing w:after="120" w:before="260"/>
      </w:pPr>
      <w:r>
        <w:rPr>
          <w:rFonts w:ascii="Arial" w:cs="Arial" w:eastAsia="Arial" w:hAnsi="Arial"/>
          <w:b/>
          <w:bCs/>
          <w:color w:val="1F3864"/>
          <w:sz w:val="24"/>
          <w:szCs w:val="24"/>
        </w:rPr>
        <w:t xml:space="preserve">4.2 Semantic Colour — Answer &amp; Mastery States</w:t>
      </w:r>
    </w:p>
    <w:p>
      <w:pPr>
        <w:spacing w:after="140"/>
      </w:pPr>
      <w:r>
        <w:rPr>
          <w:rFonts w:ascii="Arial" w:cs="Arial" w:eastAsia="Arial" w:hAnsi="Arial"/>
          <w:i w:val="false"/>
          <w:iCs w:val="false"/>
          <w:color w:val="1a1a1a"/>
          <w:sz w:val="20"/>
          <w:szCs w:val="20"/>
        </w:rPr>
        <w:t xml:space="preserve">These are the single most important colours in the product — they must be consistent everywhere a question is answered or a mastery level is shown, and must pass WCAG AA contrast against both white and each tier's background (Section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506"/>
      </w:tblGrid>
      <w:tr>
        <w:trPr>
          <w:tblHeader/>
        </w:trPr>
        <w:tc>
          <w:tcPr>
            <w:tcW w:type="dxa" w:w="20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Token</w:t>
            </w:r>
          </w:p>
        </w:tc>
        <w:tc>
          <w:tcPr>
            <w:tcW w:type="dxa" w:w="34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45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answer.correct</w:t>
            </w:r>
          </w:p>
        </w:tc>
        <w:tc>
          <w:tcPr>
            <w:tcW w:type="dxa" w:w="3400"/>
            <w:shd w:fill="2E8B57"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#2E8B57</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Correct-answer state, full-marks feedback, positive deltas.</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answer.partial</w:t>
            </w:r>
          </w:p>
        </w:tc>
        <w:tc>
          <w:tcPr>
            <w:tcW w:type="dxa" w:w="3400"/>
            <w:shd w:fill="B8860B"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#B8860B</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Partial-credit state (long-form marking) — deliberately amber, not red, to keep tone constructive.</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answer.incorrect</w:t>
            </w:r>
          </w:p>
        </w:tc>
        <w:tc>
          <w:tcPr>
            <w:tcW w:type="dxa" w:w="3400"/>
            <w:shd w:fill="C0392B"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#C0392B</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Incorrect-answer state — used sparingly, never as a full-screen colour, only as an accent (icon/border), per Principle 3.</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mastery.0_starting</w:t>
            </w:r>
          </w:p>
        </w:tc>
        <w:tc>
          <w:tcPr>
            <w:tcW w:type="dxa" w:w="3400"/>
            <w:shd w:fill="D9D9D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#D9D9D9</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level 0 — "Just getting started" (grey, never red).</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mastery.1_building</w:t>
            </w:r>
          </w:p>
        </w:tc>
        <w:tc>
          <w:tcPr>
            <w:tcW w:type="dxa" w:w="3400"/>
            <w:shd w:fill="F6C453"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#F6C453</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level 1 — "Building".</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mastery.2_secure</w:t>
            </w:r>
          </w:p>
        </w:tc>
        <w:tc>
          <w:tcPr>
            <w:tcW w:type="dxa" w:w="3400"/>
            <w:shd w:fill="8FBF6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#8FBF6B</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level 2 — "Secure".</w:t>
            </w:r>
          </w:p>
        </w:tc>
      </w:tr>
      <w:tr>
        <w:tc>
          <w:tcPr>
            <w:tcW w:type="dxa" w:w="2000"/>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mastery.3_mastered</w:t>
            </w:r>
          </w:p>
        </w:tc>
        <w:tc>
          <w:tcPr>
            <w:tcW w:type="dxa" w:w="3400"/>
            <w:shd w:fill="1F7A63" w:val="clear"/>
            <w:tcMar>
              <w:top w:type="dxa" w:w="60"/>
              <w:left w:type="dxa" w:w="100"/>
              <w:bottom w:type="dxa" w:w="60"/>
              <w:right w:type="dxa" w:w="100"/>
            </w:tcMar>
            <w:vAlign w:val="center"/>
          </w:tcPr>
          <w:p>
            <w:pPr>
              <w:jc w:val="left"/>
            </w:pPr>
            <w:r>
              <w:rPr>
                <w:rFonts w:ascii="Arial" w:cs="Arial" w:eastAsia="Arial" w:hAnsi="Arial"/>
                <w:b w:val="false"/>
                <w:bCs w:val="false"/>
                <w:color w:val="FFFFFF"/>
                <w:sz w:val="18"/>
                <w:szCs w:val="18"/>
              </w:rPr>
              <w:t xml:space="preserve">#1F7A63</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level 3 — "Mastered".</w:t>
            </w:r>
          </w:p>
        </w:tc>
      </w:tr>
    </w:tbl>
    <w:p>
      <w:pPr>
        <w:pStyle w:val="Heading2"/>
        <w:spacing w:after="120" w:before="260"/>
      </w:pPr>
      <w:r>
        <w:rPr>
          <w:rFonts w:ascii="Arial" w:cs="Arial" w:eastAsia="Arial" w:hAnsi="Arial"/>
          <w:b/>
          <w:bCs/>
          <w:color w:val="1F3864"/>
          <w:sz w:val="24"/>
          <w:szCs w:val="24"/>
        </w:rPr>
        <w:t xml:space="preserve">4.3 Tier Accent Overlays</w:t>
      </w:r>
    </w:p>
    <w:p>
      <w:pPr>
        <w:spacing w:after="140"/>
      </w:pPr>
      <w:r>
        <w:rPr>
          <w:rFonts w:ascii="Arial" w:cs="Arial" w:eastAsia="Arial" w:hAnsi="Arial"/>
          <w:i w:val="false"/>
          <w:iCs w:val="false"/>
          <w:color w:val="1a1a1a"/>
          <w:sz w:val="20"/>
          <w:szCs w:val="20"/>
        </w:rPr>
        <w:t xml:space="preserve">Each age tier (Section 3) applies one accent hue on top of the shared neutral/semantic system above — never replacing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906"/>
      </w:tblGrid>
      <w:tr>
        <w:trPr>
          <w:tblHeader/>
        </w:trPr>
        <w:tc>
          <w:tcPr>
            <w:tcW w:type="dxa" w:w="25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25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Accent</w:t>
            </w:r>
          </w:p>
        </w:tc>
        <w:tc>
          <w:tcPr>
            <w:tcW w:type="dxa" w:w="49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1 — Foundation</w:t>
            </w:r>
          </w:p>
        </w:tc>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F2994A (warm orange)</w:t>
            </w:r>
          </w:p>
        </w:tc>
        <w:tc>
          <w:tcPr>
            <w:tcW w:type="dxa" w:w="4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Used on primary buttons, progress rings, tutor-persona surfaces.</w:t>
            </w:r>
          </w:p>
        </w:tc>
      </w:tr>
      <w:tr>
        <w:tc>
          <w:tcPr>
            <w:tcW w:type="dxa" w:w="2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2 — Core</w:t>
            </w:r>
          </w:p>
        </w:tc>
        <w:tc>
          <w:tcPr>
            <w:tcW w:type="dxa" w:w="2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1F3864 (brand navy)</w:t>
            </w:r>
          </w:p>
        </w:tc>
        <w:tc>
          <w:tcPr>
            <w:tcW w:type="dxa" w:w="49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Default brand colour — no overlay needed, this is the baseline.</w:t>
            </w:r>
          </w:p>
        </w:tc>
      </w:tr>
      <w:tr>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3 — Advanced</w:t>
            </w:r>
          </w:p>
        </w:tc>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3B4B66 (cooled navy-grey)</w:t>
            </w:r>
          </w:p>
        </w:tc>
        <w:tc>
          <w:tcPr>
            <w:tcW w:type="dxa" w:w="4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Slightly desaturated to read as more mature; less illustration colour overall.</w:t>
            </w:r>
          </w:p>
        </w:tc>
      </w:tr>
      <w:tr>
        <w:tc>
          <w:tcPr>
            <w:tcW w:type="dxa" w:w="2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Tier 4 — Professional</w:t>
            </w:r>
          </w:p>
        </w:tc>
        <w:tc>
          <w:tcPr>
            <w:tcW w:type="dxa" w:w="2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555555 (neutral grey)</w:t>
            </w:r>
          </w:p>
        </w:tc>
        <w:tc>
          <w:tcPr>
            <w:tcW w:type="dxa" w:w="49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Colour is reserved almost entirely for data (charts, mastery bars) — chrome stays neutral.</w:t>
            </w:r>
          </w:p>
        </w:tc>
      </w:tr>
    </w:tbl>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5. Typography</w:t>
      </w:r>
    </w:p>
    <w:p>
      <w:pPr>
        <w:pStyle w:val="Heading2"/>
        <w:spacing w:after="120" w:before="260"/>
      </w:pPr>
      <w:r>
        <w:rPr>
          <w:rFonts w:ascii="Arial" w:cs="Arial" w:eastAsia="Arial" w:hAnsi="Arial"/>
          <w:b/>
          <w:bCs/>
          <w:color w:val="1F3864"/>
          <w:sz w:val="24"/>
          <w:szCs w:val="24"/>
        </w:rPr>
        <w:t xml:space="preserve">5.1 Type Family</w:t>
      </w:r>
    </w:p>
    <w:p>
      <w:pPr>
        <w:pStyle w:val="ListParagraph"/>
        <w:numPr>
          <w:ilvl w:val="0"/>
          <w:numId w:val="2"/>
        </w:numPr>
        <w:spacing w:after="90"/>
      </w:pPr>
      <w:r>
        <w:rPr>
          <w:rFonts w:ascii="Arial" w:cs="Arial" w:eastAsia="Arial" w:hAnsi="Arial"/>
          <w:sz w:val="20"/>
          <w:szCs w:val="20"/>
        </w:rPr>
        <w:t xml:space="preserve">Primary (web + Android): Inter — modern, highly legible at small sizes, excellent number/tabular-figure support for scores and timers, wide language support for parent-facing localisation later.</w:t>
      </w:r>
    </w:p>
    <w:p>
      <w:pPr>
        <w:pStyle w:val="ListParagraph"/>
        <w:numPr>
          <w:ilvl w:val="0"/>
          <w:numId w:val="2"/>
        </w:numPr>
        <w:spacing w:after="90"/>
      </w:pPr>
      <w:r>
        <w:rPr>
          <w:rFonts w:ascii="Arial" w:cs="Arial" w:eastAsia="Arial" w:hAnsi="Arial"/>
          <w:sz w:val="20"/>
          <w:szCs w:val="20"/>
        </w:rPr>
        <w:t xml:space="preserve">Primary (iOS): SF Pro (system font) for native feel and accessibility (Dynamic Type) compliance — mapped to the same type scale as Inter so cross-platform screens stay visually consistent.</w:t>
      </w:r>
    </w:p>
    <w:p>
      <w:pPr>
        <w:pStyle w:val="ListParagraph"/>
        <w:numPr>
          <w:ilvl w:val="0"/>
          <w:numId w:val="2"/>
        </w:numPr>
        <w:spacing w:after="90"/>
      </w:pPr>
      <w:r>
        <w:rPr>
          <w:rFonts w:ascii="Arial" w:cs="Arial" w:eastAsia="Arial" w:hAnsi="Arial"/>
          <w:sz w:val="20"/>
          <w:szCs w:val="20"/>
        </w:rPr>
        <w:t xml:space="preserve">Dyslexia-friendly alternative: OpenDyslexic or Atkinson Hyperlegible, offered as a user-toggle in Accessibility settings (Section 10) — required reading surface for question text and feedback text specifically.</w:t>
      </w:r>
    </w:p>
    <w:p>
      <w:pPr>
        <w:pStyle w:val="Heading2"/>
        <w:spacing w:after="120" w:before="260"/>
      </w:pPr>
      <w:r>
        <w:rPr>
          <w:rFonts w:ascii="Arial" w:cs="Arial" w:eastAsia="Arial" w:hAnsi="Arial"/>
          <w:b/>
          <w:bCs/>
          <w:color w:val="1F3864"/>
          <w:sz w:val="24"/>
          <w:szCs w:val="24"/>
        </w:rPr>
        <w:t xml:space="preserve">5.2 Type Scale (base 16px / 1.25 ratio)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906"/>
      </w:tblGrid>
      <w:tr>
        <w:trPr>
          <w:tblHeader/>
        </w:trPr>
        <w:tc>
          <w:tcPr>
            <w:tcW w:type="dxa" w:w="18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Style</w:t>
            </w:r>
          </w:p>
        </w:tc>
        <w:tc>
          <w:tcPr>
            <w:tcW w:type="dxa" w:w="18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Size</w:t>
            </w:r>
          </w:p>
        </w:tc>
        <w:tc>
          <w:tcPr>
            <w:tcW w:type="dxa" w:w="24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Weight</w:t>
            </w:r>
          </w:p>
        </w:tc>
        <w:tc>
          <w:tcPr>
            <w:tcW w:type="dxa" w:w="39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r>
      <w:tr>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Display</w:t>
            </w:r>
          </w:p>
        </w:tc>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32px</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Bold (700)</w:t>
            </w:r>
          </w:p>
        </w:tc>
        <w:tc>
          <w:tcPr>
            <w:tcW w:type="dxa" w:w="3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Marketing/onboarding hero moments only.</w:t>
            </w:r>
          </w:p>
        </w:tc>
      </w:tr>
      <w:tr>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H1</w:t>
            </w:r>
          </w:p>
        </w:tc>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26px</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Bold (700)</w:t>
            </w:r>
          </w:p>
        </w:tc>
        <w:tc>
          <w:tcPr>
            <w:tcW w:type="dxa" w:w="39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Screen titles.</w:t>
            </w:r>
          </w:p>
        </w:tc>
      </w:tr>
      <w:tr>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H2</w:t>
            </w:r>
          </w:p>
        </w:tc>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21px</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SemiBold (600)</w:t>
            </w:r>
          </w:p>
        </w:tc>
        <w:tc>
          <w:tcPr>
            <w:tcW w:type="dxa" w:w="3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Section headers within a screen.</w:t>
            </w:r>
          </w:p>
        </w:tc>
      </w:tr>
      <w:tr>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Body Large</w:t>
            </w:r>
          </w:p>
        </w:tc>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18px</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Regular (400)</w:t>
            </w:r>
          </w:p>
        </w:tc>
        <w:tc>
          <w:tcPr>
            <w:tcW w:type="dxa" w:w="39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Question stems — deliberately larger than standard body text for exam-reading comfort.</w:t>
            </w:r>
          </w:p>
        </w:tc>
      </w:tr>
      <w:tr>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Body</w:t>
            </w:r>
          </w:p>
        </w:tc>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16px</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Regular (400)</w:t>
            </w:r>
          </w:p>
        </w:tc>
        <w:tc>
          <w:tcPr>
            <w:tcW w:type="dxa" w:w="3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Default body copy.</w:t>
            </w:r>
          </w:p>
        </w:tc>
      </w:tr>
      <w:tr>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Body Small / Caption</w:t>
            </w:r>
          </w:p>
        </w:tc>
        <w:tc>
          <w:tcPr>
            <w:tcW w:type="dxa" w:w="18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13px</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Regular (400)</w:t>
            </w:r>
          </w:p>
        </w:tc>
        <w:tc>
          <w:tcPr>
            <w:tcW w:type="dxa" w:w="39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Metadata, timestamps, helper text.</w:t>
            </w:r>
          </w:p>
        </w:tc>
      </w:tr>
      <w:tr>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Numeric / Tabular</w:t>
            </w:r>
          </w:p>
        </w:tc>
        <w:tc>
          <w:tcPr>
            <w:tcW w:type="dxa" w:w="18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16–24px</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SemiBold (600), tabular-nums</w:t>
            </w:r>
          </w:p>
        </w:tc>
        <w:tc>
          <w:tcPr>
            <w:tcW w:type="dxa" w:w="39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Scores, timers, mastery percentages — must not visually jitter as digits change.</w:t>
            </w:r>
          </w:p>
        </w:tc>
      </w:tr>
    </w:tbl>
    <w:p>
      <w:pPr>
        <w:pStyle w:val="Heading1"/>
        <w:pBdr>
          <w:bottom w:val="single" w:color="1F3864" w:sz="8" w:space="4"/>
        </w:pBdr>
        <w:spacing w:after="160" w:before="320"/>
      </w:pPr>
      <w:r>
        <w:rPr>
          <w:rFonts w:ascii="Arial" w:cs="Arial" w:eastAsia="Arial" w:hAnsi="Arial"/>
          <w:b/>
          <w:bCs/>
          <w:color w:val="1F3864"/>
          <w:sz w:val="30"/>
          <w:szCs w:val="30"/>
        </w:rPr>
        <w:t xml:space="preserve">6. Spacing, Grid &amp; Layout</w:t>
      </w:r>
    </w:p>
    <w:p>
      <w:pPr>
        <w:pStyle w:val="Heading2"/>
        <w:spacing w:after="120" w:before="260"/>
      </w:pPr>
      <w:r>
        <w:rPr>
          <w:rFonts w:ascii="Arial" w:cs="Arial" w:eastAsia="Arial" w:hAnsi="Arial"/>
          <w:b/>
          <w:bCs/>
          <w:color w:val="1F3864"/>
          <w:sz w:val="24"/>
          <w:szCs w:val="24"/>
        </w:rPr>
        <w:t xml:space="preserve">6.1 Spacing Scale</w:t>
      </w:r>
    </w:p>
    <w:p>
      <w:pPr>
        <w:spacing w:after="140"/>
      </w:pPr>
      <w:r>
        <w:rPr>
          <w:rFonts w:ascii="Arial" w:cs="Arial" w:eastAsia="Arial" w:hAnsi="Arial"/>
          <w:i w:val="false"/>
          <w:iCs w:val="false"/>
          <w:color w:val="1a1a1a"/>
          <w:sz w:val="20"/>
          <w:szCs w:val="20"/>
        </w:rPr>
        <w:t xml:space="preserve">An 8pt base grid throughout, shared by web and both native platforms: 4 / 8 / 12 / 16 / 24 / 32 / 48 / 64 (px on web, pt on iOS, dp on Android). No ad-hoc spacing values outside this scale.</w:t>
      </w:r>
    </w:p>
    <w:p>
      <w:pPr>
        <w:pStyle w:val="Heading2"/>
        <w:spacing w:after="120" w:before="260"/>
      </w:pPr>
      <w:r>
        <w:rPr>
          <w:rFonts w:ascii="Arial" w:cs="Arial" w:eastAsia="Arial" w:hAnsi="Arial"/>
          <w:b/>
          <w:bCs/>
          <w:color w:val="1F3864"/>
          <w:sz w:val="24"/>
          <w:szCs w:val="24"/>
        </w:rPr>
        <w:t xml:space="preserve">6.2 Breakpoints (Web)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6"/>
      </w:tblGrid>
      <w:tr>
        <w:trPr>
          <w:tblHeader/>
        </w:trPr>
        <w:tc>
          <w:tcPr>
            <w:tcW w:type="dxa" w:w="22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Breakpoint</w:t>
            </w:r>
          </w:p>
        </w:tc>
        <w:tc>
          <w:tcPr>
            <w:tcW w:type="dxa" w:w="22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Range</w:t>
            </w:r>
          </w:p>
        </w:tc>
        <w:tc>
          <w:tcPr>
            <w:tcW w:type="dxa" w:w="55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Layout behaviour</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Mobile web</w:t>
            </w:r>
          </w:p>
        </w:tc>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600px</w:t>
            </w:r>
          </w:p>
        </w:tc>
        <w:tc>
          <w:tcPr>
            <w:tcW w:type="dxa" w:w="5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Single column, bottom tab bar (mirrors native mobile navigation), question card full-width minus 16px gutters.</w:t>
            </w:r>
          </w:p>
        </w:tc>
      </w:tr>
      <w:tr>
        <w:tc>
          <w:tcPr>
            <w:tcW w:type="dxa" w:w="2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Tablet</w:t>
            </w:r>
          </w:p>
        </w:tc>
        <w:tc>
          <w:tcPr>
            <w:tcW w:type="dxa" w:w="2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600–1024px</w:t>
            </w:r>
          </w:p>
        </w:tc>
        <w:tc>
          <w:tcPr>
            <w:tcW w:type="dxa" w:w="5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Two-column where relevant (e.g. topic list + question), persistent left nav rail replaces bottom tabs.</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Desktop</w:t>
            </w:r>
          </w:p>
        </w:tc>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1024px</w:t>
            </w:r>
          </w:p>
        </w:tc>
        <w:tc>
          <w:tcPr>
            <w:tcW w:type="dxa" w:w="5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Three-zone layout: left nav rail, main content (max-width 720px, centred), right-hand context panel (mastery/streak/tutor-notes) — content never stretches full-width past 900px, to keep question text at a comfortable reading measure.</w:t>
            </w:r>
          </w:p>
        </w:tc>
      </w:tr>
    </w:tbl>
    <w:p>
      <w:pPr>
        <w:pStyle w:val="Heading2"/>
        <w:spacing w:after="120" w:before="260"/>
      </w:pPr>
      <w:r>
        <w:rPr>
          <w:rFonts w:ascii="Arial" w:cs="Arial" w:eastAsia="Arial" w:hAnsi="Arial"/>
          <w:b/>
          <w:bCs/>
          <w:color w:val="1F3864"/>
          <w:sz w:val="24"/>
          <w:szCs w:val="24"/>
        </w:rPr>
        <w:t xml:space="preserve">6.3 Native Layout Notes</w:t>
      </w:r>
    </w:p>
    <w:p>
      <w:pPr>
        <w:pStyle w:val="ListParagraph"/>
        <w:numPr>
          <w:ilvl w:val="0"/>
          <w:numId w:val="2"/>
        </w:numPr>
        <w:spacing w:after="90"/>
      </w:pPr>
      <w:r>
        <w:rPr>
          <w:rFonts w:ascii="Arial" w:cs="Arial" w:eastAsia="Arial" w:hAnsi="Arial"/>
          <w:sz w:val="20"/>
          <w:szCs w:val="20"/>
        </w:rPr>
        <w:t xml:space="preserve">iOS: safe-area-respecting layout, bottom tab bar per Apple HIG (5 tabs max — Practice, Revise, Mock Exams, Progress, Profile).</w:t>
      </w:r>
    </w:p>
    <w:p>
      <w:pPr>
        <w:pStyle w:val="ListParagraph"/>
        <w:numPr>
          <w:ilvl w:val="0"/>
          <w:numId w:val="2"/>
        </w:numPr>
        <w:spacing w:after="90"/>
      </w:pPr>
      <w:r>
        <w:rPr>
          <w:rFonts w:ascii="Arial" w:cs="Arial" w:eastAsia="Arial" w:hAnsi="Arial"/>
          <w:sz w:val="20"/>
          <w:szCs w:val="20"/>
        </w:rPr>
        <w:t xml:space="preserve">Android: Material 3 layout structure (bottom nav bar, FAB reserved only for "Start Voice Tutor" — the product's single most important native action) themed with this system's tokens, not default Material colour.</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7. Core Component Library</w:t>
      </w:r>
    </w:p>
    <w:p>
      <w:pPr>
        <w:spacing w:after="140"/>
      </w:pPr>
      <w:r>
        <w:rPr>
          <w:rFonts w:ascii="Arial" w:cs="Arial" w:eastAsia="Arial" w:hAnsi="Arial"/>
          <w:i w:val="false"/>
          <w:iCs w:val="false"/>
          <w:color w:val="1a1a1a"/>
          <w:sz w:val="20"/>
          <w:szCs w:val="20"/>
        </w:rPr>
        <w:t xml:space="preserve">Every screen in Screen_Inventory.xlsx is built from this component set. New components should be the exception, not the rule — flag any screen that seems to need one during the Figma pass rather than inventing ad-hoc UI.</w:t>
      </w:r>
    </w:p>
    <w:p>
      <w:pPr>
        <w:pStyle w:val="Heading2"/>
        <w:spacing w:after="120" w:before="260"/>
      </w:pPr>
      <w:r>
        <w:rPr>
          <w:rFonts w:ascii="Arial" w:cs="Arial" w:eastAsia="Arial" w:hAnsi="Arial"/>
          <w:b/>
          <w:bCs/>
          <w:color w:val="1F3864"/>
          <w:sz w:val="24"/>
          <w:szCs w:val="24"/>
        </w:rPr>
        <w:t xml:space="preserve">7.1 Buttons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506"/>
      </w:tblGrid>
      <w:tr>
        <w:trPr>
          <w:tblHeader/>
        </w:trPr>
        <w:tc>
          <w:tcPr>
            <w:tcW w:type="dxa" w:w="22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w:t>
            </w:r>
          </w:p>
        </w:tc>
        <w:tc>
          <w:tcPr>
            <w:tcW w:type="dxa" w:w="32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Visual</w:t>
            </w:r>
          </w:p>
        </w:tc>
        <w:tc>
          <w:tcPr>
            <w:tcW w:type="dxa" w:w="45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Primary</w:t>
            </w:r>
          </w:p>
        </w:tc>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Filled, tier accent colour, 8px corner radius (varies by tier per 3.), white label text.</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One per screen maximum — the single next action (Submit Answer, Start Practice, Ask the Tutor).</w:t>
            </w:r>
          </w:p>
        </w:tc>
      </w:tr>
      <w:tr>
        <w:tc>
          <w:tcPr>
            <w:tcW w:type="dxa" w:w="2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Secondary</w:t>
            </w:r>
          </w:p>
        </w:tc>
        <w:tc>
          <w:tcPr>
            <w:tcW w:type="dxa" w:w="3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Outlined, 1.5px border in tier accent, transparent fill.</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Alternative action alongside a primary (e.g. "Skip" beside "Submit").</w:t>
            </w:r>
          </w:p>
        </w:tc>
      </w:tr>
      <w:tr>
        <w:tc>
          <w:tcPr>
            <w:tcW w:type="dxa" w:w="2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Tertiary / Text</w:t>
            </w:r>
          </w:p>
        </w:tc>
        <w:tc>
          <w:tcPr>
            <w:tcW w:type="dxa" w:w="32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 border or fill, accent-coloured text.</w:t>
            </w:r>
          </w:p>
        </w:tc>
        <w:tc>
          <w:tcPr>
            <w:tcW w:type="dxa" w:w="45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Low-emphasis actions ("See mark scheme", "Report an issue").</w:t>
            </w:r>
          </w:p>
        </w:tc>
      </w:tr>
      <w:tr>
        <w:tc>
          <w:tcPr>
            <w:tcW w:type="dxa" w:w="2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Destructive</w:t>
            </w:r>
          </w:p>
        </w:tc>
        <w:tc>
          <w:tcPr>
            <w:tcW w:type="dxa" w:w="32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Filled, answer.incorrect red, used only for irreversible actions.</w:t>
            </w:r>
          </w:p>
        </w:tc>
        <w:tc>
          <w:tcPr>
            <w:tcW w:type="dxa" w:w="45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"End mock exam early", "Delete account" — never for anything answer-related.</w:t>
            </w:r>
          </w:p>
        </w:tc>
      </w:tr>
    </w:tbl>
    <w:p>
      <w:pPr>
        <w:pStyle w:val="Heading2"/>
        <w:spacing w:after="120" w:before="260"/>
      </w:pPr>
      <w:r>
        <w:rPr>
          <w:rFonts w:ascii="Arial" w:cs="Arial" w:eastAsia="Arial" w:hAnsi="Arial"/>
          <w:b/>
          <w:bCs/>
          <w:color w:val="1F3864"/>
          <w:sz w:val="24"/>
          <w:szCs w:val="24"/>
        </w:rPr>
        <w:t xml:space="preserve">7.2 Question Card (the product's core screen)</w:t>
      </w:r>
    </w:p>
    <w:p>
      <w:pPr>
        <w:spacing w:after="140"/>
      </w:pPr>
      <w:r>
        <w:rPr>
          <w:rFonts w:ascii="Arial" w:cs="Arial" w:eastAsia="Arial" w:hAnsi="Arial"/>
          <w:i w:val="false"/>
          <w:iCs w:val="false"/>
          <w:color w:val="1a1a1a"/>
          <w:sz w:val="20"/>
          <w:szCs w:val="20"/>
        </w:rPr>
        <w:t xml:space="preserve">Anatomy, top to bottom: (1) context strip — subject/board/topic breadcrumb + question counter ("Q4 of 10") + timer if timed; (2) question stem (Body Large type, generous line-height 1.5); (3) input zone — one of: multiple-choice options, free-text/equation input, or diagram/labelling canvas, sized by input type; (4) primary action button, always in the same fixed position (thumb-reachable zone on mobile — bottom third of screen); (5) post-submit feedback panel — slides up in place (not a new screen), showing verdict, marks awarded, and the mark-scheme-language explanation (Principle 2).</w:t>
      </w:r>
    </w:p>
    <w:p>
      <w:pPr>
        <w:spacing w:after="140"/>
      </w:pPr>
      <w:r>
        <w:rPr>
          <w:rFonts w:ascii="Arial" w:cs="Arial" w:eastAsia="Arial" w:hAnsi="Arial"/>
          <w:i w:val="false"/>
          <w:iCs w:val="false"/>
          <w:color w:val="1a1a1a"/>
          <w:sz w:val="20"/>
          <w:szCs w:val="20"/>
        </w:rPr>
        <w:t xml:space="preserve">This exact anatomy is reused, re-skinned per tier (Section 3), across every practice, revision, past-paper, and mock-exam screen — the single highest-leverage component in the system.</w:t>
      </w:r>
    </w:p>
    <w:p>
      <w:pPr>
        <w:pStyle w:val="Heading2"/>
        <w:spacing w:after="120" w:before="260"/>
      </w:pPr>
      <w:r>
        <w:rPr>
          <w:rFonts w:ascii="Arial" w:cs="Arial" w:eastAsia="Arial" w:hAnsi="Arial"/>
          <w:b/>
          <w:bCs/>
          <w:color w:val="1F3864"/>
          <w:sz w:val="24"/>
          <w:szCs w:val="24"/>
        </w:rPr>
        <w:t xml:space="preserve">7.3 Cards — Topic / Subject / Board</w:t>
      </w:r>
    </w:p>
    <w:p>
      <w:pPr>
        <w:spacing w:after="140"/>
      </w:pPr>
      <w:r>
        <w:rPr>
          <w:rFonts w:ascii="Arial" w:cs="Arial" w:eastAsia="Arial" w:hAnsi="Arial"/>
          <w:i w:val="false"/>
          <w:iCs w:val="false"/>
          <w:color w:val="1a1a1a"/>
          <w:sz w:val="20"/>
          <w:szCs w:val="20"/>
        </w:rPr>
        <w:t xml:space="preserve">Consistent card shell (surface.white, 1px neutral.200 border, tier-specific corner radius, subtle shadow on hover/press only — flat at rest) used for: subject selection, topic list items, past-paper list items, and revision-deck items. Each shows: title, a compact mastery indicator (7.5), and a secondary metadata line (question count, board, last practised).</w:t>
      </w:r>
    </w:p>
    <w:p>
      <w:pPr>
        <w:pStyle w:val="Heading2"/>
        <w:spacing w:after="120" w:before="260"/>
      </w:pPr>
      <w:r>
        <w:rPr>
          <w:rFonts w:ascii="Arial" w:cs="Arial" w:eastAsia="Arial" w:hAnsi="Arial"/>
          <w:b/>
          <w:bCs/>
          <w:color w:val="1F3864"/>
          <w:sz w:val="24"/>
          <w:szCs w:val="24"/>
        </w:rPr>
        <w:t xml:space="preserve">7.4 Navigation</w:t>
      </w:r>
    </w:p>
    <w:p>
      <w:pPr>
        <w:pStyle w:val="ListParagraph"/>
        <w:numPr>
          <w:ilvl w:val="0"/>
          <w:numId w:val="2"/>
        </w:numPr>
        <w:spacing w:after="90"/>
      </w:pPr>
      <w:r>
        <w:rPr>
          <w:rFonts w:ascii="Arial" w:cs="Arial" w:eastAsia="Arial" w:hAnsi="Arial"/>
          <w:sz w:val="20"/>
          <w:szCs w:val="20"/>
        </w:rPr>
        <w:t xml:space="preserve">Web: persistent left nav rail (desktop) collapsing to bottom tabs (mobile web) — items: Practice, Revise, Mock Exams, Voice Tutor, Progress, Profile.</w:t>
      </w:r>
    </w:p>
    <w:p>
      <w:pPr>
        <w:pStyle w:val="ListParagraph"/>
        <w:numPr>
          <w:ilvl w:val="0"/>
          <w:numId w:val="2"/>
        </w:numPr>
        <w:spacing w:after="90"/>
      </w:pPr>
      <w:r>
        <w:rPr>
          <w:rFonts w:ascii="Arial" w:cs="Arial" w:eastAsia="Arial" w:hAnsi="Arial"/>
          <w:sz w:val="20"/>
          <w:szCs w:val="20"/>
        </w:rPr>
        <w:t xml:space="preserve">iOS / Android native: bottom tab bar, 5 items max (Voice Tutor is promoted into the tab bar per its day-1, pilot-critical status — not buried in a menu).</w:t>
      </w:r>
    </w:p>
    <w:p>
      <w:pPr>
        <w:pStyle w:val="ListParagraph"/>
        <w:numPr>
          <w:ilvl w:val="0"/>
          <w:numId w:val="2"/>
        </w:numPr>
        <w:spacing w:after="90"/>
      </w:pPr>
      <w:r>
        <w:rPr>
          <w:rFonts w:ascii="Arial" w:cs="Arial" w:eastAsia="Arial" w:hAnsi="Arial"/>
          <w:sz w:val="20"/>
          <w:szCs w:val="20"/>
        </w:rPr>
        <w:t xml:space="preserve">Teacher/School Admin Console (Tier 4): top nav bar + left sidebar (data-dense dashboard convention, not the student's tab pattern) — this console should visually signal "professional tool", not "the student app in grown-up colours".</w:t>
      </w:r>
    </w:p>
    <w:p>
      <w:pPr>
        <w:pStyle w:val="Heading2"/>
        <w:spacing w:after="120" w:before="260"/>
      </w:pPr>
      <w:r>
        <w:rPr>
          <w:rFonts w:ascii="Arial" w:cs="Arial" w:eastAsia="Arial" w:hAnsi="Arial"/>
          <w:b/>
          <w:bCs/>
          <w:color w:val="1F3864"/>
          <w:sz w:val="24"/>
          <w:szCs w:val="24"/>
        </w:rPr>
        <w:t xml:space="preserve">7.5 Mastery Visualisation</w:t>
      </w:r>
    </w:p>
    <w:p>
      <w:pPr>
        <w:spacing w:after="140"/>
      </w:pPr>
      <w:r>
        <w:rPr>
          <w:rFonts w:ascii="Arial" w:cs="Arial" w:eastAsia="Arial" w:hAnsi="Arial"/>
          <w:i w:val="false"/>
          <w:iCs w:val="false"/>
          <w:color w:val="1a1a1a"/>
          <w:sz w:val="20"/>
          <w:szCs w:val="20"/>
        </w:rPr>
        <w:t xml:space="preserve">Two standard patterns, used everywhere mastery appears: (a) a compact ring/arc indicator (colour per 4.2, fill proportional to mastery %) for lists and cards; (b) an expanded topic-map view (inspired by CENTURY Tech, Section 1) for the full Progress screen and the Teacher Console — a grid or tree of topic nodes, each coloured by mastery tier, tappable to drill into that topic's question history.</w:t>
      </w:r>
    </w:p>
    <w:p>
      <w:pPr>
        <w:pStyle w:val="Heading2"/>
        <w:spacing w:after="120" w:before="260"/>
      </w:pPr>
      <w:r>
        <w:rPr>
          <w:rFonts w:ascii="Arial" w:cs="Arial" w:eastAsia="Arial" w:hAnsi="Arial"/>
          <w:b/>
          <w:bCs/>
          <w:color w:val="1F3864"/>
          <w:sz w:val="24"/>
          <w:szCs w:val="24"/>
        </w:rPr>
        <w:t xml:space="preserve">7.6 Voice Tutor UI</w:t>
      </w:r>
    </w:p>
    <w:p>
      <w:pPr>
        <w:spacing w:after="140"/>
      </w:pPr>
      <w:r>
        <w:rPr>
          <w:rFonts w:ascii="Arial" w:cs="Arial" w:eastAsia="Arial" w:hAnsi="Arial"/>
          <w:i w:val="false"/>
          <w:iCs w:val="false"/>
          <w:color w:val="1a1a1a"/>
          <w:sz w:val="20"/>
          <w:szCs w:val="20"/>
        </w:rPr>
        <w:t xml:space="preserve">A persistent, consistently-illustrated tutor persona (Principle 5) with three explicit visual states, matched to real orchestration states from the Google Cloud STT→Claude→TTS pipeline (locked architecture, Section 5.3 of the architecture doc):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406"/>
      </w:tblGrid>
      <w:tr>
        <w:trPr>
          <w:tblHeader/>
        </w:trPr>
        <w:tc>
          <w:tcPr>
            <w:tcW w:type="dxa" w:w="20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25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54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Visual treatment</w:t>
            </w:r>
          </w:p>
        </w:tc>
      </w:tr>
      <w:tr>
        <w:tc>
          <w:tcPr>
            <w:tcW w:type="dxa" w:w="20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Listening</w:t>
            </w:r>
          </w:p>
        </w:tc>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Mic active, STT streaming.</w:t>
            </w:r>
          </w:p>
        </w:tc>
        <w:tc>
          <w:tcPr>
            <w:tcW w:type="dxa" w:w="54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Live waveform synced to input audio level around the persona; accent-coloured pulse ring.</w:t>
            </w:r>
          </w:p>
        </w:tc>
      </w:tr>
      <w:tr>
        <w:tc>
          <w:tcPr>
            <w:tcW w:type="dxa" w:w="20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Thinking</w:t>
            </w:r>
          </w:p>
        </w:tc>
        <w:tc>
          <w:tcPr>
            <w:tcW w:type="dxa" w:w="25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STT finalised, Claude response in flight.</w:t>
            </w:r>
          </w:p>
        </w:tc>
        <w:tc>
          <w:tcPr>
            <w:tcW w:type="dxa" w:w="54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Persona shifts to a subtle, looping "considering" animation (not a generic spinner) — must never exceed ~2–3s per the latency budget the team owns (architecture decision 5); show a soft skeleton/typing indicator if it runs longer.</w:t>
            </w:r>
          </w:p>
        </w:tc>
      </w:tr>
      <w:tr>
        <w:tc>
          <w:tcPr>
            <w:tcW w:type="dxa" w:w="20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Speaking</w:t>
            </w:r>
          </w:p>
        </w:tc>
        <w:tc>
          <w:tcPr>
            <w:tcW w:type="dxa" w:w="25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TTS audio playing back.</w:t>
            </w:r>
          </w:p>
        </w:tc>
        <w:tc>
          <w:tcPr>
            <w:tcW w:type="dxa" w:w="54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Persona's mouth/expression animates in sync with audio amplitude; live transcript captioned below for accessibility (10.).</w:t>
            </w:r>
          </w:p>
        </w:tc>
      </w:tr>
    </w:tbl>
    <w:p>
      <w:pPr>
        <w:pStyle w:val="Heading2"/>
        <w:spacing w:after="120" w:before="260"/>
      </w:pPr>
      <w:r>
        <w:rPr>
          <w:rFonts w:ascii="Arial" w:cs="Arial" w:eastAsia="Arial" w:hAnsi="Arial"/>
          <w:b/>
          <w:bCs/>
          <w:color w:val="1F3864"/>
          <w:sz w:val="24"/>
          <w:szCs w:val="24"/>
        </w:rPr>
        <w:t xml:space="preserve">7.7 Streak / Gamification-Ready Components</w:t>
      </w:r>
    </w:p>
    <w:p>
      <w:pPr>
        <w:spacing w:after="140"/>
      </w:pPr>
      <w:r>
        <w:rPr>
          <w:rFonts w:ascii="Arial" w:cs="Arial" w:eastAsia="Arial" w:hAnsi="Arial"/>
          <w:i w:val="false"/>
          <w:iCs w:val="false"/>
          <w:color w:val="1a1a1a"/>
          <w:sz w:val="20"/>
          <w:szCs w:val="20"/>
        </w:rPr>
        <w:t xml:space="preserve">Gamification is held back for the pilot (client decision), but the component set below must exist in the design system now so it can be switched on later without a redesign: streak counter badge, XP/points pill, milestone celebration modal (Section 8.5). These render in a "reserved but hidden" state for the pilot build.</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8. Motion &amp; Animation Principles</w:t>
      </w:r>
    </w:p>
    <w:p>
      <w:pPr>
        <w:spacing w:after="140"/>
      </w:pPr>
      <w:r>
        <w:rPr>
          <w:rFonts w:ascii="Arial" w:cs="Arial" w:eastAsia="Arial" w:hAnsi="Arial"/>
          <w:i w:val="false"/>
          <w:iCs w:val="false"/>
          <w:color w:val="1a1a1a"/>
          <w:sz w:val="20"/>
          <w:szCs w:val="20"/>
        </w:rPr>
        <w:t xml:space="preserve">Per Principle 6: fast and quiet by default, warm and purposeful for moments that have earned it. Every animation below should respect the OS-level "reduce motion" accessibility setting (Section 10) by falling back to an instant or fade-only transition.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3006"/>
      </w:tblGrid>
      <w:tr>
        <w:trPr>
          <w:tblHeader/>
        </w:trPr>
        <w:tc>
          <w:tcPr>
            <w:tcW w:type="dxa" w:w="24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Moment</w:t>
            </w:r>
          </w:p>
        </w:tc>
        <w:tc>
          <w:tcPr>
            <w:tcW w:type="dxa" w:w="24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Motion</w:t>
            </w:r>
          </w:p>
        </w:tc>
        <w:tc>
          <w:tcPr>
            <w:tcW w:type="dxa" w:w="2100"/>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 / easing</w:t>
            </w:r>
          </w:p>
        </w:tc>
        <w:tc>
          <w:tcPr>
            <w:tcW w:type="dxa" w:w="3006"/>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Correct answer</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Feedback panel slides up + brief colour flash on the input zone border.</w:t>
            </w:r>
          </w:p>
        </w:tc>
        <w:tc>
          <w:tcPr>
            <w:tcW w:type="dxa" w:w="21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200ms, ease-out</w:t>
            </w:r>
          </w:p>
        </w:tc>
        <w:tc>
          <w:tcPr>
            <w:tcW w:type="dxa" w:w="30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 sound/confetti by default — see 8.5 for milestone-only celebration.</w:t>
            </w:r>
          </w:p>
        </w:tc>
      </w:tr>
      <w:tr>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Incorrect / partial answer</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Feedback panel slides up; input zone border pulses once in answer.partial/incorrect colour.</w:t>
            </w:r>
          </w:p>
        </w:tc>
        <w:tc>
          <w:tcPr>
            <w:tcW w:type="dxa" w:w="21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200ms, ease-out</w:t>
            </w:r>
          </w:p>
        </w:tc>
        <w:tc>
          <w:tcPr>
            <w:tcW w:type="dxa" w:w="30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Deliberately understated — never shake/error-buzz, which reads as punitive (Principle 3).</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level-up</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Mastery ring animates fill + a one-off colour transition to the new tier colour; small toast notification.</w:t>
            </w:r>
          </w:p>
        </w:tc>
        <w:tc>
          <w:tcPr>
            <w:tcW w:type="dxa" w:w="21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600ms, ease-in-out</w:t>
            </w:r>
          </w:p>
        </w:tc>
        <w:tc>
          <w:tcPr>
            <w:tcW w:type="dxa" w:w="30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The one "medium" celebration that's always on, even during the pilot — it's core progress feedback, not gamification.</w:t>
            </w:r>
          </w:p>
        </w:tc>
      </w:tr>
      <w:tr>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Screen / route transition</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Horizontal slide (mobile: push/pop convention per platform), cross-fade (web).</w:t>
            </w:r>
          </w:p>
        </w:tc>
        <w:tc>
          <w:tcPr>
            <w:tcW w:type="dxa" w:w="21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250ms, standard ease</w:t>
            </w:r>
          </w:p>
        </w:tc>
        <w:tc>
          <w:tcPr>
            <w:tcW w:type="dxa" w:w="30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Match each native platform's own system transition rather than a custom one — feels faster and more "native."</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Voice tutor state change (listening→thinking→speaking)</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Persona morphs between the three states in 7.6 — no hard cuts.</w:t>
            </w:r>
          </w:p>
        </w:tc>
        <w:tc>
          <w:tcPr>
            <w:tcW w:type="dxa" w:w="21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300–400ms, ease-in-out</w:t>
            </w:r>
          </w:p>
        </w:tc>
        <w:tc>
          <w:tcPr>
            <w:tcW w:type="dxa" w:w="30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This is the highest-visibility recurring animation in the product — invest disproportionate polish here.</w:t>
            </w:r>
          </w:p>
        </w:tc>
      </w:tr>
      <w:tr>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Loading / content fetch</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Skeleton screens (shaped placeholders matching final layout), not spinners, for anything &gt;400ms.</w:t>
            </w:r>
          </w:p>
        </w:tc>
        <w:tc>
          <w:tcPr>
            <w:tcW w:type="dxa" w:w="21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Shimmer loop, 1.2s</w:t>
            </w:r>
          </w:p>
        </w:tc>
        <w:tc>
          <w:tcPr>
            <w:tcW w:type="dxa" w:w="30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Applies to question-gen latency in particular, so waiting for an AI-generated question never feels like a blank stall.</w:t>
            </w:r>
          </w:p>
        </w:tc>
      </w:tr>
      <w:tr>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Milestone celebration (pilot: mock exam completed; post-pilot: streak/XP milestones)</w:t>
            </w:r>
          </w:p>
        </w:tc>
        <w:tc>
          <w:tcPr>
            <w:tcW w:type="dxa" w:w="24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Brief full-screen celebratory moment — illustrated per age tier (Tier 1 more playful, Tier 3 more restrained), auto-dismisses.</w:t>
            </w:r>
          </w:p>
        </w:tc>
        <w:tc>
          <w:tcPr>
            <w:tcW w:type="dxa" w:w="2100"/>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1.5–2s, spring</w:t>
            </w:r>
          </w:p>
        </w:tc>
        <w:tc>
          <w:tcPr>
            <w:tcW w:type="dxa" w:w="3006"/>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Reserve for genuine milestones only, per Principle 6 — overuse trains students to ignore it.</w:t>
            </w:r>
          </w:p>
        </w:tc>
      </w:tr>
      <w:tr>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Onboarding / empty states</w:t>
            </w:r>
          </w:p>
        </w:tc>
        <w:tc>
          <w:tcPr>
            <w:tcW w:type="dxa" w:w="24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Gentle fade+rise-in for illustration and copy.</w:t>
            </w:r>
          </w:p>
        </w:tc>
        <w:tc>
          <w:tcPr>
            <w:tcW w:type="dxa" w:w="2100"/>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300ms, ease-out</w:t>
            </w:r>
          </w:p>
        </w:tc>
        <w:tc>
          <w:tcPr>
            <w:tcW w:type="dxa" w:w="3006"/>
            <w:shd w:fill="F7F9FB"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Empty states always include a single clear next action, never just decorative illustration.</w:t>
            </w:r>
          </w:p>
        </w:tc>
      </w:tr>
    </w:tbl>
    <w:p>
      <w:pPr>
        <w:pStyle w:val="Heading1"/>
        <w:pBdr>
          <w:bottom w:val="single" w:color="1F3864" w:sz="8" w:space="4"/>
        </w:pBdr>
        <w:spacing w:after="160" w:before="320"/>
      </w:pPr>
      <w:r>
        <w:rPr>
          <w:rFonts w:ascii="Arial" w:cs="Arial" w:eastAsia="Arial" w:hAnsi="Arial"/>
          <w:b/>
          <w:bCs/>
          <w:color w:val="1F3864"/>
          <w:sz w:val="30"/>
          <w:szCs w:val="30"/>
        </w:rPr>
        <w:t xml:space="preserve">9. Iconography &amp; Illustration</w:t>
      </w:r>
    </w:p>
    <w:p>
      <w:pPr>
        <w:pStyle w:val="ListParagraph"/>
        <w:numPr>
          <w:ilvl w:val="0"/>
          <w:numId w:val="2"/>
        </w:numPr>
        <w:spacing w:after="90"/>
      </w:pPr>
      <w:r>
        <w:rPr>
          <w:rFonts w:ascii="Arial" w:cs="Arial" w:eastAsia="Arial" w:hAnsi="Arial"/>
          <w:sz w:val="20"/>
          <w:szCs w:val="20"/>
        </w:rPr>
        <w:t xml:space="preserve">Icon set: a single consistent outlined icon family (2px stroke, rounded caps) across web and both native apps — recommend Phosphor Icons or a licensed equivalent as the base set, restyled to the 2px/rounded spec rather than used default.</w:t>
      </w:r>
    </w:p>
    <w:p>
      <w:pPr>
        <w:pStyle w:val="ListParagraph"/>
        <w:numPr>
          <w:ilvl w:val="0"/>
          <w:numId w:val="2"/>
        </w:numPr>
        <w:spacing w:after="90"/>
      </w:pPr>
      <w:r>
        <w:rPr>
          <w:rFonts w:ascii="Arial" w:cs="Arial" w:eastAsia="Arial" w:hAnsi="Arial"/>
          <w:sz w:val="20"/>
          <w:szCs w:val="20"/>
        </w:rPr>
        <w:t xml:space="preserve">Subject icons: one distinct, memorable icon per subject (Maths, English, Chemistry, Physics, Biology) reused everywhere that subject appears — card headers, nav, notifications — for fast visual scanning across a multi-subject dashboard.</w:t>
      </w:r>
    </w:p>
    <w:p>
      <w:pPr>
        <w:pStyle w:val="ListParagraph"/>
        <w:numPr>
          <w:ilvl w:val="0"/>
          <w:numId w:val="2"/>
        </w:numPr>
        <w:spacing w:after="90"/>
      </w:pPr>
      <w:r>
        <w:rPr>
          <w:rFonts w:ascii="Arial" w:cs="Arial" w:eastAsia="Arial" w:hAnsi="Arial"/>
          <w:sz w:val="20"/>
          <w:szCs w:val="20"/>
        </w:rPr>
        <w:t xml:space="preserve">Illustration style shifts by age tier per Section 3: Tier 1 uses simple, rounded, friendly character illustration (the tutor persona lives here at its warmest); Tier 2 shifts to flat geometric/abstract motifs; Tier 3 uses minimal line-art only; Tier 4 (Parent/Teacher) uses almost no illustration, charts and data visualisation instead.</w:t>
      </w:r>
    </w:p>
    <w:p>
      <w:pPr>
        <w:pStyle w:val="ListParagraph"/>
        <w:numPr>
          <w:ilvl w:val="0"/>
          <w:numId w:val="2"/>
        </w:numPr>
        <w:spacing w:after="90"/>
      </w:pPr>
      <w:r>
        <w:rPr>
          <w:rFonts w:ascii="Arial" w:cs="Arial" w:eastAsia="Arial" w:hAnsi="Arial"/>
          <w:sz w:val="20"/>
          <w:szCs w:val="20"/>
        </w:rPr>
        <w:t xml:space="preserve">Exam-board / paper imagery (past paper thumbnails, mark scheme references) should look authentically exam-like — muted, document-style presentation — deliberately distinct from the app's own playful/branded surfaces, so students can tell at a glance "this is the real exam paper" versus "this is app-generated practice."</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10. Accessibility &amp; UK Compliance Tie-In</w:t>
      </w:r>
    </w:p>
    <w:p>
      <w:pPr>
        <w:spacing w:after="140"/>
      </w:pPr>
      <w:r>
        <w:rPr>
          <w:rFonts w:ascii="Arial" w:cs="Arial" w:eastAsia="Arial" w:hAnsi="Arial"/>
          <w:i w:val="false"/>
          <w:iCs w:val="false"/>
          <w:color w:val="1a1a1a"/>
          <w:sz w:val="20"/>
          <w:szCs w:val="20"/>
        </w:rPr>
        <w:t xml:space="preserve">This section connects directly to the locked architecture's compliance commitments (ICO Children's Code / AADC, Online Safety Act 2023, KCSIE) — accessibility here is both a UX requirement and part of the product's regulatory posture for a platform serving under-18s.</w:t>
      </w:r>
    </w:p>
    <w:p>
      <w:pPr>
        <w:pStyle w:val="ListParagraph"/>
        <w:numPr>
          <w:ilvl w:val="0"/>
          <w:numId w:val="2"/>
        </w:numPr>
        <w:spacing w:after="90"/>
      </w:pPr>
      <w:r>
        <w:rPr>
          <w:rFonts w:ascii="Arial" w:cs="Arial" w:eastAsia="Arial" w:hAnsi="Arial"/>
          <w:sz w:val="20"/>
          <w:szCs w:val="20"/>
        </w:rPr>
        <w:t xml:space="preserve">Contrast: every text/background and icon/background pairing in Sections 4.1–4.3 must meet WCAG 2.2 AA (4.5:1 body text, 3:1 large text/icons) — verify semantic answer colours against all four tier backgrounds, not just neutral.050.</w:t>
      </w:r>
    </w:p>
    <w:p>
      <w:pPr>
        <w:pStyle w:val="ListParagraph"/>
        <w:numPr>
          <w:ilvl w:val="0"/>
          <w:numId w:val="2"/>
        </w:numPr>
        <w:spacing w:after="90"/>
      </w:pPr>
      <w:r>
        <w:rPr>
          <w:rFonts w:ascii="Arial" w:cs="Arial" w:eastAsia="Arial" w:hAnsi="Arial"/>
          <w:sz w:val="20"/>
          <w:szCs w:val="20"/>
        </w:rPr>
        <w:t xml:space="preserve">Dyslexia-friendly mode: user-togglable alternate typeface (5.1) plus increased line-height/letter-spacing preset — available from first login, not buried in settings, given the age range served.</w:t>
      </w:r>
    </w:p>
    <w:p>
      <w:pPr>
        <w:pStyle w:val="ListParagraph"/>
        <w:numPr>
          <w:ilvl w:val="0"/>
          <w:numId w:val="2"/>
        </w:numPr>
        <w:spacing w:after="90"/>
      </w:pPr>
      <w:r>
        <w:rPr>
          <w:rFonts w:ascii="Arial" w:cs="Arial" w:eastAsia="Arial" w:hAnsi="Arial"/>
          <w:sz w:val="20"/>
          <w:szCs w:val="20"/>
        </w:rPr>
        <w:t xml:space="preserve">Reduced motion: every animation in Section 8 has a defined reduced-motion fallback (instant state change or simple fade) tied to the OS-level accessibility setting, checked automatically rather than requiring a separate in-app toggle.</w:t>
      </w:r>
    </w:p>
    <w:p>
      <w:pPr>
        <w:pStyle w:val="ListParagraph"/>
        <w:numPr>
          <w:ilvl w:val="0"/>
          <w:numId w:val="2"/>
        </w:numPr>
        <w:spacing w:after="90"/>
      </w:pPr>
      <w:r>
        <w:rPr>
          <w:rFonts w:ascii="Arial" w:cs="Arial" w:eastAsia="Arial" w:hAnsi="Arial"/>
          <w:sz w:val="20"/>
          <w:szCs w:val="20"/>
        </w:rPr>
        <w:t xml:space="preserve">Text scaling: support Dynamic Type (iOS) / font scale (Android) / rem-based scaling (web) up to at least 200% without breaking the Question Card layout (7.2) — this is the single most-used screen and must degrade gracefully.</w:t>
      </w:r>
    </w:p>
    <w:p>
      <w:pPr>
        <w:pStyle w:val="ListParagraph"/>
        <w:numPr>
          <w:ilvl w:val="0"/>
          <w:numId w:val="2"/>
        </w:numPr>
        <w:spacing w:after="90"/>
      </w:pPr>
      <w:r>
        <w:rPr>
          <w:rFonts w:ascii="Arial" w:cs="Arial" w:eastAsia="Arial" w:hAnsi="Arial"/>
          <w:sz w:val="20"/>
          <w:szCs w:val="20"/>
        </w:rPr>
        <w:t xml:space="preserve">Voice tutor captions: live transcript captions are always available during "Speaking" state (7.6), not just as an accessibility opt-in — this also supports quiet/shared-room usage, a realistic context for the target age group.</w:t>
      </w:r>
    </w:p>
    <w:p>
      <w:pPr>
        <w:pStyle w:val="ListParagraph"/>
        <w:numPr>
          <w:ilvl w:val="0"/>
          <w:numId w:val="2"/>
        </w:numPr>
        <w:spacing w:after="90"/>
      </w:pPr>
      <w:r>
        <w:rPr>
          <w:rFonts w:ascii="Arial" w:cs="Arial" w:eastAsia="Arial" w:hAnsi="Arial"/>
          <w:sz w:val="20"/>
          <w:szCs w:val="20"/>
        </w:rPr>
        <w:t xml:space="preserve">Age-appropriate design (ICO AADC / OSA): default settings for under-18 accounts are the most privacy-protective option at every choice point (data collection, notifications, discoverability) per the platform's locked age-assurance approach — this design system should never require a design pattern that defaults a minor into a less-protective setting.</w:t>
      </w:r>
    </w:p>
    <w:p>
      <w:pPr>
        <w:pStyle w:val="Heading1"/>
        <w:pBdr>
          <w:bottom w:val="single" w:color="1F3864" w:sz="8" w:space="4"/>
        </w:pBdr>
        <w:spacing w:after="160" w:before="320"/>
      </w:pPr>
      <w:r>
        <w:rPr>
          <w:rFonts w:ascii="Arial" w:cs="Arial" w:eastAsia="Arial" w:hAnsi="Arial"/>
          <w:b/>
          <w:bCs/>
          <w:color w:val="1F3864"/>
          <w:sz w:val="30"/>
          <w:szCs w:val="30"/>
        </w:rPr>
        <w:t xml:space="preserve">11. Platform Implementation Notes</w:t>
      </w:r>
    </w:p>
    <w:p>
      <w:pPr>
        <w:pStyle w:val="Heading2"/>
        <w:spacing w:after="120" w:before="260"/>
      </w:pPr>
      <w:r>
        <w:rPr>
          <w:rFonts w:ascii="Arial" w:cs="Arial" w:eastAsia="Arial" w:hAnsi="Arial"/>
          <w:b/>
          <w:bCs/>
          <w:color w:val="1F3864"/>
          <w:sz w:val="24"/>
          <w:szCs w:val="24"/>
        </w:rPr>
        <w:t xml:space="preserve">11.1 Web (React)</w:t>
      </w:r>
    </w:p>
    <w:p>
      <w:pPr>
        <w:spacing w:after="140"/>
      </w:pPr>
      <w:r>
        <w:rPr>
          <w:rFonts w:ascii="Arial" w:cs="Arial" w:eastAsia="Arial" w:hAnsi="Arial"/>
          <w:i w:val="false"/>
          <w:iCs w:val="false"/>
          <w:color w:val="1a1a1a"/>
          <w:sz w:val="20"/>
          <w:szCs w:val="20"/>
        </w:rPr>
        <w:t xml:space="preserve">Implement this system as a Tailwind CSS token configuration (colours, spacing, radii, type scale all mapped 1:1 to Sections 4–6) so design tokens and implementation tokens never drift apart. Component library built once, shared across marketing site and app shell.</w:t>
      </w:r>
    </w:p>
    <w:p>
      <w:pPr>
        <w:pStyle w:val="Heading2"/>
        <w:spacing w:after="120" w:before="260"/>
      </w:pPr>
      <w:r>
        <w:rPr>
          <w:rFonts w:ascii="Arial" w:cs="Arial" w:eastAsia="Arial" w:hAnsi="Arial"/>
          <w:b/>
          <w:bCs/>
          <w:color w:val="1F3864"/>
          <w:sz w:val="24"/>
          <w:szCs w:val="24"/>
        </w:rPr>
        <w:t xml:space="preserve">11.2 iOS (Swift / SwiftUI)</w:t>
      </w:r>
    </w:p>
    <w:p>
      <w:pPr>
        <w:spacing w:after="140"/>
      </w:pPr>
      <w:r>
        <w:rPr>
          <w:rFonts w:ascii="Arial" w:cs="Arial" w:eastAsia="Arial" w:hAnsi="Arial"/>
          <w:i w:val="false"/>
          <w:iCs w:val="false"/>
          <w:color w:val="1a1a1a"/>
          <w:sz w:val="20"/>
          <w:szCs w:val="20"/>
        </w:rPr>
        <w:t xml:space="preserve">Native SwiftUI components, themed via a single AppTheme struct mirroring the token set below — respect Apple Human Interface Guidelines for navigation and gesture conventions (Section 6.3) while keeping colour/type/motion identical to the cross-platform spec.</w:t>
      </w:r>
    </w:p>
    <w:p>
      <w:pPr>
        <w:pStyle w:val="Heading2"/>
        <w:spacing w:after="120" w:before="260"/>
      </w:pPr>
      <w:r>
        <w:rPr>
          <w:rFonts w:ascii="Arial" w:cs="Arial" w:eastAsia="Arial" w:hAnsi="Arial"/>
          <w:b/>
          <w:bCs/>
          <w:color w:val="1F3864"/>
          <w:sz w:val="24"/>
          <w:szCs w:val="24"/>
        </w:rPr>
        <w:t xml:space="preserve">11.3 Android (Kotlin / Jetpack Compose)</w:t>
      </w:r>
    </w:p>
    <w:p>
      <w:pPr>
        <w:spacing w:after="140"/>
      </w:pPr>
      <w:r>
        <w:rPr>
          <w:rFonts w:ascii="Arial" w:cs="Arial" w:eastAsia="Arial" w:hAnsi="Arial"/>
          <w:i w:val="false"/>
          <w:iCs w:val="false"/>
          <w:color w:val="1a1a1a"/>
          <w:sz w:val="20"/>
          <w:szCs w:val="20"/>
        </w:rPr>
        <w:t xml:space="preserve">Material 3 (Compose) as the structural base, fully re-themed with this system's tokens — do not ship default Material colour or type, which would visually fragment the product from its iOS counterpart.</w:t>
      </w:r>
    </w:p>
    <w:p>
      <w:pPr>
        <w:pStyle w:val="Heading2"/>
        <w:spacing w:after="120" w:before="260"/>
      </w:pPr>
      <w:r>
        <w:rPr>
          <w:rFonts w:ascii="Arial" w:cs="Arial" w:eastAsia="Arial" w:hAnsi="Arial"/>
          <w:b/>
          <w:bCs/>
          <w:color w:val="1F3864"/>
          <w:sz w:val="24"/>
          <w:szCs w:val="24"/>
        </w:rPr>
        <w:t xml:space="preserve">11.4 Shared Design Tokens</w:t>
      </w:r>
    </w:p>
    <w:p>
      <w:pPr>
        <w:spacing w:after="140"/>
      </w:pPr>
      <w:r>
        <w:rPr>
          <w:rFonts w:ascii="Arial" w:cs="Arial" w:eastAsia="Arial" w:hAnsi="Arial"/>
          <w:i w:val="false"/>
          <w:iCs w:val="false"/>
          <w:color w:val="1a1a1a"/>
          <w:sz w:val="20"/>
          <w:szCs w:val="20"/>
        </w:rPr>
        <w:t xml:space="preserve">Maintain one machine-readable token source (JSON — colour, spacing, radius, type scale, motion duration/easing values from Sections 4–8) that all three codebases (React, Swift, Kotlin) consume, rather than three hand-maintained copies. This is the practical mechanism that keeps the native Swift/Kotlin build (locked architecture decision 7) visually identical to web despite being two separate native codebases with no shared UI framework.</w:t>
      </w:r>
    </w:p>
    <w:p>
      <w:r>
        <w:br w:type="page"/>
      </w:r>
    </w:p>
    <w:p>
      <w:pPr>
        <w:pStyle w:val="Heading1"/>
        <w:pBdr>
          <w:bottom w:val="single" w:color="1F3864" w:sz="8" w:space="4"/>
        </w:pBdr>
        <w:spacing w:after="160" w:before="320"/>
      </w:pPr>
      <w:r>
        <w:rPr>
          <w:rFonts w:ascii="Arial" w:cs="Arial" w:eastAsia="Arial" w:hAnsi="Arial"/>
          <w:b/>
          <w:bCs/>
          <w:color w:val="1F3864"/>
          <w:sz w:val="30"/>
          <w:szCs w:val="30"/>
        </w:rPr>
        <w:t xml:space="preserve">12. Next Steps — Handoff to Screen-by-Screen Design</w:t>
      </w:r>
    </w:p>
    <w:p>
      <w:pPr>
        <w:spacing w:after="140"/>
      </w:pPr>
      <w:r>
        <w:rPr>
          <w:rFonts w:ascii="Arial" w:cs="Arial" w:eastAsia="Arial" w:hAnsi="Arial"/>
          <w:i w:val="false"/>
          <w:iCs w:val="false"/>
          <w:color w:val="1a1a1a"/>
          <w:sz w:val="20"/>
          <w:szCs w:val="20"/>
        </w:rPr>
        <w:t xml:space="preserve">This document plus Screen_Inventory.xlsx (94 screens: full inventory, primary role, platform, source user stories, priority, and design notes) are the complete brief for the screen-by-screen visual design pass covering every screen, on both web and mobile, in one pass — the scope Murtaza confirmed.</w:t>
      </w:r>
    </w:p>
    <w:p>
      <w:pPr>
        <w:pStyle w:val="ListParagraph"/>
        <w:numPr>
          <w:ilvl w:val="0"/>
          <w:numId w:val="2"/>
        </w:numPr>
        <w:spacing w:after="90"/>
      </w:pPr>
      <w:r>
        <w:rPr>
          <w:rFonts w:ascii="Arial" w:cs="Arial" w:eastAsia="Arial" w:hAnsi="Arial"/>
          <w:sz w:val="20"/>
          <w:szCs w:val="20"/>
        </w:rPr>
        <w:t xml:space="default">Blocker: the Canva connector needs to be reconnected on your end (claude.ai connector settings) before any actual screen can be generated — this is an OAuth step only you can complete.</w:t>
      </w:r>
    </w:p>
    <w:p>
      <w:pPr>
        <w:pStyle w:val="ListParagraph"/>
        <w:numPr>
          <w:ilvl w:val="0"/>
          <w:numId w:val="2"/>
        </w:numPr>
        <w:spacing w:after="90"/>
      </w:pPr>
      <w:r>
        <w:rPr>
          <w:rFonts w:ascii="Arial" w:cs="Arial" w:eastAsia="Arial" w:hAnsi="Arial"/>
          <w:sz w:val="20"/>
          <w:szCs w:val="20"/>
        </w:rPr>
        <w:t xml:space="default">Important scope note: even once Canva is reconnected, Canva itself has no bridge to Figma through any tool available in this session — Canva can produce the designs, but "in Figma" specifically would need either designing directly inside a connected Figma file (if/when a Figma connector with write access becomes available) or exporting/re-creating the Canva output into Figma manually.</w:t>
      </w:r>
    </w:p>
    <w:p>
      <w:pPr>
        <w:pStyle w:val="ListParagraph"/>
        <w:numPr>
          <w:ilvl w:val="0"/>
          <w:numId w:val="2"/>
        </w:numPr>
        <w:spacing w:after="90"/>
      </w:pPr>
      <w:r>
        <w:rPr>
          <w:rFonts w:ascii="Arial" w:cs="Arial" w:eastAsia="Arial" w:hAnsi="Arial"/>
          <w:sz w:val="20"/>
          <w:szCs w:val="20"/>
        </w:rPr>
        <w:t xml:space="preserve">Once unblocked: every screen in Screen_Inventory.xlsx gets built as a frame, tier-appropriate per Section 3, using only the component set in Section 7, following the motion notes in Section 8 as annotation for handoff to engineering — web and mobile (iOS + Android layout variants) for each screen, per the confirmed scope.</w:t>
      </w:r>
    </w:p>
    <w:p>
      <w:pPr>
        <w:spacing w:after="140"/>
      </w:pPr>
      <w:r>
        <w:rPr>
          <w:rFonts w:ascii="Arial" w:cs="Arial" w:eastAsia="Arial" w:hAnsi="Arial"/>
          <w:i/>
          <w:iCs/>
          <w:color w:val="555555"/>
          <w:sz w:val="20"/>
          <w:szCs w:val="20"/>
        </w:rPr>
        <w:t xml:space="preserve">Status: this document and Screen_Inventory.xlsx are ready now. They are deliberately built so that once the Canva blocker clears, the actual design pass can move fast and stay consistent — rather than starting screen one with no shared system to work from.</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2026-09-14T22:12:19.239Z</dcterms:created>
  <dcterms:modified xsi:type="dcterms:W3CDTF">2026-09-14T22:12:19.251Z</dcterms:modified>
</cp:coreProperties>
</file>

<file path=docProps/custom.xml><?xml version="1.0" encoding="utf-8"?>
<Properties xmlns="http://schemas.openxmlformats.org/officeDocument/2006/custom-properties" xmlns:vt="http://schemas.openxmlformats.org/officeDocument/2006/docPropsVTypes"/>
</file>