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SAFEGUARDING NOTE</w:t>
      </w:r>
    </w:p>
    <w:p>
      <w:pPr>
        <w:spacing w:after="40"/>
      </w:pPr>
      <w:r>
        <w:rPr>
          <w:rFonts w:ascii="Arial" w:cs="Arial" w:eastAsia="Arial" w:hAnsi="Arial"/>
          <w:b/>
          <w:bCs/>
          <w:color w:val="000000"/>
          <w:sz w:val="26"/>
          <w:szCs w:val="26"/>
        </w:rPr>
        <w:t xml:space="preserve">Launching Schools (B2B) and Direct-to-Consumer (B2C) in Parallel</w:t>
      </w:r>
    </w:p>
    <w:p>
      <w:pPr>
        <w:spacing w:after="300"/>
      </w:pPr>
      <w:r>
        <w:rPr>
          <w:rFonts w:ascii="Arial" w:cs="Arial" w:eastAsia="Arial" w:hAnsi="Arial"/>
          <w:i/>
          <w:iCs/>
          <w:color w:val="666666"/>
          <w:sz w:val="19"/>
          <w:szCs w:val="19"/>
        </w:rPr>
        <w:t xml:space="preserve">Prepared for Arshad Ashraf · 4 September 2026 · UK online exam-prep platform (11+, GCSE, iGCSE, A-Level)</w:t>
      </w:r>
    </w:p>
    <w:p>
      <w:pPr>
        <w:spacing w:after="140" w:line="276"/>
      </w:pPr>
      <w:r>
        <w:rPr>
          <w:rFonts w:ascii="Arial" w:cs="Arial" w:eastAsia="Arial" w:hAnsi="Arial"/>
          <w:color w:val="404040"/>
          <w:sz w:val="21"/>
          <w:szCs w:val="21"/>
        </w:rPr>
        <w:t xml:space="preserve">You asked directly what safeguarding needs addressing if schools and direct-to-consumer launch at the same time. Short answer: the two channels share most requirements, but launching them together means all of it has to be ready before day one instead of building it up gradually — that's the real cost of "parallel," not any single new rule. This note lays out what's shared, what schools specifically add, and the concrete steps. It complements the Project Open Items Tracker (rows on Legal/IP and Governance), where each item below is now logged with an owner.</w:t>
      </w:r>
    </w:p>
    <w:p>
      <w:pPr>
        <w:pStyle w:val="Heading1"/>
        <w:pBdr>
          <w:bottom w:val="single" w:color="1F3864" w:sz="6" w:space="4"/>
        </w:pBdr>
        <w:spacing w:after="140" w:before="320"/>
      </w:pPr>
      <w:r>
        <w:rPr>
          <w:rFonts w:ascii="Arial" w:cs="Arial" w:eastAsia="Arial" w:hAnsi="Arial"/>
          <w:b/>
          <w:bCs/>
          <w:color w:val="1F3864"/>
          <w:sz w:val="26"/>
          <w:szCs w:val="26"/>
        </w:rPr>
        <w:t xml:space="preserve">1. What applies regardless of channel — because your users are under 18</w:t>
      </w:r>
    </w:p>
    <w:p>
      <w:pPr>
        <w:spacing w:after="140" w:line="276"/>
      </w:pPr>
      <w:r>
        <w:rPr>
          <w:rFonts w:ascii="Arial" w:cs="Arial" w:eastAsia="Arial" w:hAnsi="Arial"/>
          <w:color w:val="404040"/>
          <w:sz w:val="21"/>
          <w:szCs w:val="21"/>
        </w:rPr>
        <w:t xml:space="preserve">These aren't schools-specific; they apply the moment a minor can use the platform, consumer or not:</w:t>
      </w:r>
    </w:p>
    <w:p>
      <w:pPr>
        <w:pStyle w:val="ListParagraph"/>
        <w:numPr>
          <w:ilvl w:val="0"/>
          <w:numId w:val="2"/>
        </w:numPr>
        <w:spacing w:after="90" w:line="264"/>
      </w:pPr>
      <w:r>
        <w:rPr>
          <w:rFonts w:ascii="Arial" w:cs="Arial" w:eastAsia="Arial" w:hAnsi="Arial"/>
          <w:b/>
          <w:bCs/>
          <w:color w:val="000000"/>
          <w:sz w:val="21"/>
          <w:szCs w:val="21"/>
        </w:rPr>
        <w:t xml:space="preserve">ICO Children's Code (Age Appropriate Design Code). </w:t>
      </w:r>
      <w:r>
        <w:rPr>
          <w:rFonts w:ascii="Arial" w:cs="Arial" w:eastAsia="Arial" w:hAnsi="Arial"/>
          <w:color w:val="404040"/>
          <w:sz w:val="21"/>
          <w:szCs w:val="21"/>
        </w:rPr>
        <w:t xml:space="preserve">The ICO has confirmed EdTech products and services fall within scope. Practically: a Data Protection Impact Assessment (DPIA) before launch, high-privacy default settings, no profiling or geolocation by default, and no design that nudges engagement the way commercial apps do — this is exactly why we're holding gamification back (already agreed).</w:t>
      </w:r>
    </w:p>
    <w:p>
      <w:pPr>
        <w:pStyle w:val="ListParagraph"/>
        <w:numPr>
          <w:ilvl w:val="0"/>
          <w:numId w:val="2"/>
        </w:numPr>
        <w:spacing w:after="90" w:line="264"/>
      </w:pPr>
      <w:r>
        <w:rPr>
          <w:rFonts w:ascii="Arial" w:cs="Arial" w:eastAsia="Arial" w:hAnsi="Arial"/>
          <w:b/>
          <w:bCs/>
          <w:color w:val="000000"/>
          <w:sz w:val="21"/>
          <w:szCs w:val="21"/>
        </w:rPr>
        <w:t xml:space="preserve">Online Safety Act 2023 — children's safety duties. </w:t>
      </w:r>
      <w:r>
        <w:rPr>
          <w:rFonts w:ascii="Arial" w:cs="Arial" w:eastAsia="Arial" w:hAnsi="Arial"/>
          <w:color w:val="404040"/>
          <w:sz w:val="21"/>
          <w:szCs w:val="21"/>
        </w:rPr>
        <w:t xml:space="preserve">Ofcom's Protection of Children Codes are now in force. Any service "likely to be accessed by children" must complete a children's access assessment; if in scope, that triggers age-assurance and content-safety/moderation duties. Voice mode from day one and any student–tutor chat raise this risk specifically, because they generate live, unmoderated-by-default content. This needs a lawyer's read alongside the exam-board licensing question you're already checking — flagged as a new tracker item.</w:t>
      </w:r>
    </w:p>
    <w:p>
      <w:pPr>
        <w:pStyle w:val="ListParagraph"/>
        <w:numPr>
          <w:ilvl w:val="0"/>
          <w:numId w:val="2"/>
        </w:numPr>
        <w:spacing w:after="90" w:line="264"/>
      </w:pPr>
      <w:r>
        <w:rPr>
          <w:rFonts w:ascii="Arial" w:cs="Arial" w:eastAsia="Arial" w:hAnsi="Arial"/>
          <w:b/>
          <w:bCs/>
          <w:color w:val="000000"/>
          <w:sz w:val="21"/>
          <w:szCs w:val="21"/>
        </w:rPr>
        <w:t xml:space="preserve">Disclosure handling in AI sessions. </w:t>
      </w:r>
      <w:r>
        <w:rPr>
          <w:rFonts w:ascii="Arial" w:cs="Arial" w:eastAsia="Arial" w:hAnsi="Arial"/>
          <w:color w:val="404040"/>
          <w:sz w:val="21"/>
          <w:szCs w:val="21"/>
        </w:rPr>
        <w:t xml:space="preserve">If a student discloses something concerning (self-harm, abuse, bullying) during a chat or voice session, the product needs a designed response — not silence, not generic redirection to "talk to an adult." This needs a written policy and, ideally, keyword/intent detection that routes to a human before anything else gets built on top of voice mode.</w:t>
      </w:r>
    </w:p>
    <w:p>
      <w:pPr>
        <w:pStyle w:val="Heading1"/>
        <w:pBdr>
          <w:bottom w:val="single" w:color="1F3864" w:sz="6" w:space="4"/>
        </w:pBdr>
        <w:spacing w:after="140" w:before="320"/>
      </w:pPr>
      <w:r>
        <w:rPr>
          <w:rFonts w:ascii="Arial" w:cs="Arial" w:eastAsia="Arial" w:hAnsi="Arial"/>
          <w:b/>
          <w:bCs/>
          <w:color w:val="1F3864"/>
          <w:sz w:val="26"/>
          <w:szCs w:val="26"/>
        </w:rPr>
        <w:t xml:space="preserve">2. What schools (B2B) add on top of that</w:t>
      </w:r>
    </w:p>
    <w:p>
      <w:pPr>
        <w:spacing w:after="140" w:line="276"/>
      </w:pPr>
      <w:r>
        <w:rPr>
          <w:rFonts w:ascii="Arial" w:cs="Arial" w:eastAsia="Arial" w:hAnsi="Arial"/>
          <w:color w:val="404040"/>
          <w:sz w:val="21"/>
          <w:szCs w:val="21"/>
        </w:rPr>
        <w:t xml:space="preserve">This is the part that doubles the safeguarding surface, and why we recommended deferring it earlier. Launching in parallel is workable, but each of these needs to exist before the first school signs, not after:</w:t>
      </w:r>
    </w:p>
    <w:p>
      <w:pPr>
        <w:pStyle w:val="ListParagraph"/>
        <w:numPr>
          <w:ilvl w:val="0"/>
          <w:numId w:val="2"/>
        </w:numPr>
        <w:spacing w:after="90" w:line="264"/>
      </w:pPr>
      <w:r>
        <w:rPr>
          <w:rFonts w:ascii="Arial" w:cs="Arial" w:eastAsia="Arial" w:hAnsi="Arial"/>
          <w:b/>
          <w:bCs/>
          <w:color w:val="000000"/>
          <w:sz w:val="21"/>
          <w:szCs w:val="21"/>
        </w:rPr>
        <w:t xml:space="preserve">Safer recruitment — Enhanced DBS + Barred List checks. </w:t>
      </w:r>
      <w:r>
        <w:rPr>
          <w:rFonts w:ascii="Arial" w:cs="Arial" w:eastAsia="Arial" w:hAnsi="Arial"/>
          <w:color w:val="404040"/>
          <w:sz w:val="21"/>
          <w:szCs w:val="21"/>
        </w:rPr>
        <w:t xml:space="preserve">Not a strict legal requirement for a private platform today (this is a known gap in UK tutoring regulation), but schools will not procure without it, and it's the right bar for consumer trust too. Covers anyone who can see student work or interact with a student 1:1 — tutors, marking reviewers, support staff.</w:t>
      </w:r>
    </w:p>
    <w:p>
      <w:pPr>
        <w:pStyle w:val="ListParagraph"/>
        <w:numPr>
          <w:ilvl w:val="0"/>
          <w:numId w:val="2"/>
        </w:numPr>
        <w:spacing w:after="90" w:line="264"/>
      </w:pPr>
      <w:r>
        <w:rPr>
          <w:rFonts w:ascii="Arial" w:cs="Arial" w:eastAsia="Arial" w:hAnsi="Arial"/>
          <w:b/>
          <w:bCs/>
          <w:color w:val="000000"/>
          <w:sz w:val="21"/>
          <w:szCs w:val="21"/>
        </w:rPr>
        <w:t xml:space="preserve">A named safeguarding lead. </w:t>
      </w:r>
      <w:r>
        <w:rPr>
          <w:rFonts w:ascii="Arial" w:cs="Arial" w:eastAsia="Arial" w:hAnsi="Arial"/>
          <w:color w:val="404040"/>
          <w:sz w:val="21"/>
          <w:szCs w:val="21"/>
        </w:rPr>
        <w:t xml:space="preserve">Schools will expect a Designated Safeguarding Lead (DSL) equivalent on our side, with a clear escalation path they can point to during procurement due diligence.</w:t>
      </w:r>
    </w:p>
    <w:p>
      <w:pPr>
        <w:pStyle w:val="ListParagraph"/>
        <w:numPr>
          <w:ilvl w:val="0"/>
          <w:numId w:val="2"/>
        </w:numPr>
        <w:spacing w:after="90" w:line="264"/>
      </w:pPr>
      <w:r>
        <w:rPr>
          <w:rFonts w:ascii="Arial" w:cs="Arial" w:eastAsia="Arial" w:hAnsi="Arial"/>
          <w:b/>
          <w:bCs/>
          <w:color w:val="000000"/>
          <w:sz w:val="21"/>
          <w:szCs w:val="21"/>
        </w:rPr>
        <w:t xml:space="preserve">KCSIE-aligned policy documentation. </w:t>
      </w:r>
      <w:r>
        <w:rPr>
          <w:rFonts w:ascii="Arial" w:cs="Arial" w:eastAsia="Arial" w:hAnsi="Arial"/>
          <w:color w:val="404040"/>
          <w:sz w:val="21"/>
          <w:szCs w:val="21"/>
        </w:rPr>
        <w:t xml:space="preserve">KCSIE 2026 (the statutory guidance schools follow, now including AI-safeguarding provisions) legally binds schools, not us — but schools' own compliance means they'll ask us to show policies mapped to it before they'll sign: safeguarding policy, staff vetting evidence, filtering/monitoring compatibility, incident reporting SLA.</w:t>
      </w:r>
    </w:p>
    <w:p>
      <w:pPr>
        <w:pStyle w:val="ListParagraph"/>
        <w:numPr>
          <w:ilvl w:val="0"/>
          <w:numId w:val="2"/>
        </w:numPr>
        <w:spacing w:after="90" w:line="264"/>
      </w:pPr>
      <w:r>
        <w:rPr>
          <w:rFonts w:ascii="Arial" w:cs="Arial" w:eastAsia="Arial" w:hAnsi="Arial"/>
          <w:b/>
          <w:bCs/>
          <w:color w:val="000000"/>
          <w:sz w:val="21"/>
          <w:szCs w:val="21"/>
        </w:rPr>
        <w:t xml:space="preserve">Per-school Data Processing Agreement (DPA). </w:t>
      </w:r>
      <w:r>
        <w:rPr>
          <w:rFonts w:ascii="Arial" w:cs="Arial" w:eastAsia="Arial" w:hAnsi="Arial"/>
          <w:color w:val="404040"/>
          <w:sz w:val="21"/>
          <w:szCs w:val="21"/>
        </w:rPr>
        <w:t xml:space="preserve">Schools are the data controller for pupil data; each school contract needs its own DPA. This is paperwork, not product work, but it's on the school's critical path to signing, so it needs a template ready early.</w:t>
      </w:r>
    </w:p>
    <w:p>
      <w:pPr>
        <w:pStyle w:val="ListParagraph"/>
        <w:numPr>
          <w:ilvl w:val="0"/>
          <w:numId w:val="2"/>
        </w:numPr>
        <w:spacing w:after="90" w:line="264"/>
      </w:pPr>
      <w:r>
        <w:rPr>
          <w:rFonts w:ascii="Arial" w:cs="Arial" w:eastAsia="Arial" w:hAnsi="Arial"/>
          <w:b/>
          <w:bCs/>
          <w:color w:val="000000"/>
          <w:sz w:val="21"/>
          <w:szCs w:val="21"/>
        </w:rPr>
        <w:t xml:space="preserve">Procurement due-diligence pack. </w:t>
      </w:r>
      <w:r>
        <w:rPr>
          <w:rFonts w:ascii="Arial" w:cs="Arial" w:eastAsia="Arial" w:hAnsi="Arial"/>
          <w:color w:val="404040"/>
          <w:sz w:val="21"/>
          <w:szCs w:val="21"/>
        </w:rPr>
        <w:t xml:space="preserve">Larger schools/trusts increasingly buy through supplier frameworks that check exactly the above — better to assemble this once as a standard pack than reactively per deal.</w:t>
      </w:r>
    </w:p>
    <w:p>
      <w:pPr>
        <w:pStyle w:val="Heading1"/>
        <w:pBdr>
          <w:bottom w:val="single" w:color="1F3864" w:sz="6" w:space="4"/>
        </w:pBdr>
        <w:spacing w:after="140" w:before="320"/>
      </w:pPr>
      <w:r>
        <w:rPr>
          <w:rFonts w:ascii="Arial" w:cs="Arial" w:eastAsia="Arial" w:hAnsi="Arial"/>
          <w:b/>
          <w:bCs/>
          <w:color w:val="1F3864"/>
          <w:sz w:val="26"/>
          <w:szCs w:val="26"/>
        </w:rPr>
        <w:t xml:space="preserve">3. Recommended sequencing</w:t>
      </w:r>
    </w:p>
    <w:p>
      <w:pPr>
        <w:spacing w:after="140" w:line="276"/>
      </w:pPr>
      <w:r>
        <w:rPr>
          <w:rFonts w:ascii="Arial" w:cs="Arial" w:eastAsia="Arial" w:hAnsi="Arial"/>
          <w:color w:val="404040"/>
          <w:sz w:val="21"/>
          <w:szCs w:val="21"/>
        </w:rPr>
        <w:t xml:space="preserve">None of this blocks the Chemistry pilot, which is consumer-facing. But if schools launch alongside consumer as planned, the DBS/vetting process, the safeguarding lead, the DPA template, and the KCSIE-mapped policy pack all need to be in motion now, in parallel with the pilot build — not after it proves out. That's the main timeline implication of this decision, and worth flagging to whoever owns the pilot schedule.</w:t>
      </w:r>
    </w:p>
    <w:p>
      <w:pPr>
        <w:pStyle w:val="Heading1"/>
        <w:pBdr>
          <w:bottom w:val="single" w:color="1F3864" w:sz="6" w:space="4"/>
        </w:pBdr>
        <w:spacing w:after="140" w:before="320"/>
      </w:pPr>
      <w:r>
        <w:rPr>
          <w:rFonts w:ascii="Arial" w:cs="Arial" w:eastAsia="Arial" w:hAnsi="Arial"/>
          <w:b/>
          <w:bCs/>
          <w:color w:val="1F3864"/>
          <w:sz w:val="26"/>
          <w:szCs w:val="26"/>
        </w:rPr>
        <w:t xml:space="preserve">4. Immediate next steps</w:t>
      </w:r>
    </w:p>
    <w:p>
      <w:pPr>
        <w:pStyle w:val="ListParagraph"/>
        <w:numPr>
          <w:ilvl w:val="0"/>
          <w:numId w:val="2"/>
        </w:numPr>
        <w:spacing w:after="90" w:line="264"/>
      </w:pPr>
      <w:r>
        <w:rPr>
          <w:rFonts w:ascii="Arial" w:cs="Arial" w:eastAsia="Arial" w:hAnsi="Arial"/>
          <w:color w:val="404040"/>
          <w:sz w:val="21"/>
          <w:szCs w:val="21"/>
        </w:rPr>
        <w:t xml:space="preserve">Get the OSA children's-access-assessment question in front of the same lawyer reviewing exam-board licensing (one legal engagement, two questions).</w:t>
      </w:r>
    </w:p>
    <w:p>
      <w:pPr>
        <w:pStyle w:val="ListParagraph"/>
        <w:numPr>
          <w:ilvl w:val="0"/>
          <w:numId w:val="2"/>
        </w:numPr>
        <w:spacing w:after="90" w:line="264"/>
      </w:pPr>
      <w:r>
        <w:rPr>
          <w:rFonts w:ascii="Arial" w:cs="Arial" w:eastAsia="Arial" w:hAnsi="Arial"/>
          <w:color w:val="404040"/>
          <w:sz w:val="21"/>
          <w:szCs w:val="21"/>
        </w:rPr>
        <w:t xml:space="preserve">Name an internal safeguarding lead and start Enhanced DBS checks for anyone in a tutor/marking-reviewer role.</w:t>
      </w:r>
    </w:p>
    <w:p>
      <w:pPr>
        <w:pStyle w:val="ListParagraph"/>
        <w:numPr>
          <w:ilvl w:val="0"/>
          <w:numId w:val="2"/>
        </w:numPr>
        <w:spacing w:after="90" w:line="264"/>
      </w:pPr>
      <w:r>
        <w:rPr>
          <w:rFonts w:ascii="Arial" w:cs="Arial" w:eastAsia="Arial" w:hAnsi="Arial"/>
          <w:color w:val="404040"/>
          <w:sz w:val="21"/>
          <w:szCs w:val="21"/>
        </w:rPr>
        <w:t xml:space="preserve">Draft the DPA template and the KCSIE-mapped safeguarding policy pack — both are documentation work that can start immediately without waiting on product decisions.</w:t>
      </w:r>
    </w:p>
    <w:p>
      <w:pPr>
        <w:pStyle w:val="ListParagraph"/>
        <w:numPr>
          <w:ilvl w:val="0"/>
          <w:numId w:val="2"/>
        </w:numPr>
        <w:spacing w:after="90" w:line="264"/>
      </w:pPr>
      <w:r>
        <w:rPr>
          <w:rFonts w:ascii="Arial" w:cs="Arial" w:eastAsia="Arial" w:hAnsi="Arial"/>
          <w:color w:val="404040"/>
          <w:sz w:val="21"/>
          <w:szCs w:val="21"/>
        </w:rPr>
        <w:t xml:space="preserve">Write the in-session disclosure-handling policy before voice mode design goes further, since it changes what the voice product needs to do, not just what it says.</w:t>
      </w:r>
    </w:p>
    <w:p>
      <w:pPr>
        <w:pBdr>
          <w:top w:val="single" w:color="CCCCCC" w:sz="4" w:space="8"/>
        </w:pBdr>
        <w:spacing w:before="260"/>
      </w:pPr>
      <w:r>
        <w:rPr>
          <w:rFonts w:ascii="Arial" w:cs="Arial" w:eastAsia="Arial" w:hAnsi="Arial"/>
          <w:i/>
          <w:iCs/>
          <w:color w:val="808080"/>
          <w:sz w:val="18"/>
          <w:szCs w:val="18"/>
        </w:rPr>
        <w:t xml:space="preserve">This is a scoping note, not legal advice — the OSA and DBS points above should be confirmed with a solicitor before schools onboarding opens.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2026-09-04T21:55:14.160Z</dcterms:created>
  <dcterms:modified xsi:type="dcterms:W3CDTF">2026-09-04T21:55:14.172Z</dcterms:modified>
</cp:coreProperties>
</file>

<file path=docProps/custom.xml><?xml version="1.0" encoding="utf-8"?>
<Properties xmlns="http://schemas.openxmlformats.org/officeDocument/2006/custom-properties" xmlns:vt="http://schemas.openxmlformats.org/officeDocument/2006/docPropsVTypes"/>
</file>