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40"/>
        <w:jc w:val="center"/>
      </w:pPr>
      <w:r>
        <w:rPr>
          <w:rFonts w:ascii="Calibri" w:hAnsi="Calibri"/>
          <w:b/>
          <w:i w:val="0"/>
          <w:color w:val="C58A20"/>
          <w:sz w:val="22"/>
        </w:rPr>
        <w:t>DESIGN DOCUMENT</w:t>
      </w:r>
    </w:p>
    <w:p>
      <w:pPr>
        <w:spacing w:before="320" w:after="200"/>
        <w:jc w:val="center"/>
      </w:pPr>
      <w:r>
        <w:rPr>
          <w:rFonts w:ascii="Calibri" w:hAnsi="Calibri"/>
          <w:b/>
          <w:i w:val="0"/>
          <w:color w:val="173B67"/>
          <w:sz w:val="60"/>
        </w:rPr>
        <w:t>Designing a Multi-Agent</w:t>
        <w:br/>
        <w:t>Research System</w:t>
      </w:r>
    </w:p>
    <w:p>
      <w:pPr>
        <w:spacing w:after="520"/>
        <w:jc w:val="center"/>
      </w:pPr>
      <w:r>
        <w:rPr>
          <w:rFonts w:ascii="Calibri" w:hAnsi="Calibri"/>
          <w:b w:val="0"/>
          <w:i w:val="0"/>
          <w:color w:val="2867B2"/>
          <w:sz w:val="28"/>
        </w:rPr>
        <w:t>Collaborative intelligence for comprehensive market analysis</w:t>
      </w:r>
    </w:p>
    <w:p>
      <w:pPr>
        <w:jc w:val="center"/>
      </w:pPr>
      <w:r>
        <w:rPr>
          <w:rFonts w:ascii="Calibri" w:hAnsi="Calibri"/>
          <w:b w:val="0"/>
          <w:i/>
          <w:color w:val="536273"/>
          <w:sz w:val="23"/>
        </w:rPr>
        <w:t>Five specialized agents. One evolving shared understanding.</w:t>
      </w:r>
    </w:p>
    <w:tbl>
      <w:tblPr>
        <w:tblW w:type="auto" w:w="0"/>
        <w:jc w:val="center"/>
        <w:tblLayout w:type="fixed"/>
        <w:tblLook w:firstColumn="1" w:firstRow="1" w:lastColumn="0" w:lastRow="0" w:noHBand="0" w:noVBand="1" w:val="04A0"/>
      </w:tblPr>
      <w:tblGrid>
        <w:gridCol w:w="4680"/>
        <w:gridCol w:w="4680"/>
      </w:tblGrid>
      <w:tr>
        <w:tc>
          <w:tcPr>
            <w:tcW w:type="dxa" w:w="2304"/>
            <w:shd w:fill="EAF2FC"/>
            <w:tcMar>
              <w:top w:w="95" w:type="dxa"/>
              <w:start w:w="130" w:type="dxa"/>
              <w:bottom w:w="95" w:type="dxa"/>
              <w:end w:w="130" w:type="dxa"/>
            </w:tcMar>
            <w:vAlign w:val="center"/>
          </w:tcPr>
          <w:p>
            <w:r>
              <w:rPr>
                <w:rFonts w:ascii="Calibri" w:hAnsi="Calibri"/>
                <w:b/>
                <w:i w:val="0"/>
                <w:color w:val="173B67"/>
                <w:sz w:val="22"/>
              </w:rPr>
              <w:t>System</w:t>
            </w:r>
          </w:p>
        </w:tc>
        <w:tc>
          <w:tcPr>
            <w:tcW w:type="dxa" w:w="5472"/>
            <w:tcMar>
              <w:top w:w="95" w:type="dxa"/>
              <w:start w:w="130" w:type="dxa"/>
              <w:bottom w:w="95" w:type="dxa"/>
              <w:end w:w="130" w:type="dxa"/>
            </w:tcMar>
            <w:vAlign w:val="center"/>
          </w:tcPr>
          <w:p>
            <w:r>
              <w:rPr>
                <w:rFonts w:ascii="Calibri" w:hAnsi="Calibri"/>
                <w:b w:val="0"/>
                <w:i w:val="0"/>
                <w:color w:val="17212B"/>
                <w:sz w:val="22"/>
              </w:rPr>
              <w:t>Multi-Agent Market Research Assistant</w:t>
            </w:r>
          </w:p>
        </w:tc>
      </w:tr>
      <w:tr>
        <w:tc>
          <w:tcPr>
            <w:tcW w:type="dxa" w:w="2304"/>
            <w:shd w:fill="EAF2FC"/>
            <w:tcMar>
              <w:top w:w="95" w:type="dxa"/>
              <w:start w:w="130" w:type="dxa"/>
              <w:bottom w:w="95" w:type="dxa"/>
              <w:end w:w="130" w:type="dxa"/>
            </w:tcMar>
            <w:vAlign w:val="center"/>
          </w:tcPr>
          <w:p>
            <w:r>
              <w:rPr>
                <w:rFonts w:ascii="Calibri" w:hAnsi="Calibri"/>
                <w:b/>
                <w:i w:val="0"/>
                <w:color w:val="173B67"/>
                <w:sz w:val="22"/>
              </w:rPr>
              <w:t>Domain</w:t>
            </w:r>
          </w:p>
        </w:tc>
        <w:tc>
          <w:tcPr>
            <w:tcW w:type="dxa" w:w="5472"/>
            <w:tcMar>
              <w:top w:w="95" w:type="dxa"/>
              <w:start w:w="130" w:type="dxa"/>
              <w:bottom w:w="95" w:type="dxa"/>
              <w:end w:w="130" w:type="dxa"/>
            </w:tcMar>
            <w:vAlign w:val="center"/>
          </w:tcPr>
          <w:p>
            <w:r>
              <w:rPr>
                <w:rFonts w:ascii="Calibri" w:hAnsi="Calibri"/>
                <w:b w:val="0"/>
                <w:i w:val="0"/>
                <w:color w:val="17212B"/>
                <w:sz w:val="22"/>
              </w:rPr>
              <w:t>Consulting and Market Intelligence</w:t>
            </w:r>
          </w:p>
        </w:tc>
      </w:tr>
      <w:tr>
        <w:tc>
          <w:tcPr>
            <w:tcW w:type="dxa" w:w="2304"/>
            <w:shd w:fill="EAF2FC"/>
            <w:tcMar>
              <w:top w:w="95" w:type="dxa"/>
              <w:start w:w="130" w:type="dxa"/>
              <w:bottom w:w="95" w:type="dxa"/>
              <w:end w:w="130" w:type="dxa"/>
            </w:tcMar>
            <w:vAlign w:val="center"/>
          </w:tcPr>
          <w:p>
            <w:r>
              <w:rPr>
                <w:rFonts w:ascii="Calibri" w:hAnsi="Calibri"/>
                <w:b/>
                <w:i w:val="0"/>
                <w:color w:val="173B67"/>
                <w:sz w:val="22"/>
              </w:rPr>
              <w:t>Design Focus</w:t>
            </w:r>
          </w:p>
        </w:tc>
        <w:tc>
          <w:tcPr>
            <w:tcW w:type="dxa" w:w="5472"/>
            <w:tcMar>
              <w:top w:w="95" w:type="dxa"/>
              <w:start w:w="130" w:type="dxa"/>
              <w:bottom w:w="95" w:type="dxa"/>
              <w:end w:w="130" w:type="dxa"/>
            </w:tcMar>
            <w:vAlign w:val="center"/>
          </w:tcPr>
          <w:p>
            <w:r>
              <w:rPr>
                <w:rFonts w:ascii="Calibri" w:hAnsi="Calibri"/>
                <w:b w:val="0"/>
                <w:i w:val="0"/>
                <w:color w:val="17212B"/>
                <w:sz w:val="22"/>
              </w:rPr>
              <w:t>State, coordination, adaptive workflow, synthesis</w:t>
            </w:r>
          </w:p>
        </w:tc>
      </w:tr>
      <w:tr>
        <w:tc>
          <w:tcPr>
            <w:tcW w:type="dxa" w:w="2304"/>
            <w:shd w:fill="EAF2FC"/>
            <w:tcMar>
              <w:top w:w="95" w:type="dxa"/>
              <w:start w:w="130" w:type="dxa"/>
              <w:bottom w:w="95" w:type="dxa"/>
              <w:end w:w="130" w:type="dxa"/>
            </w:tcMar>
            <w:vAlign w:val="center"/>
          </w:tcPr>
          <w:p>
            <w:r>
              <w:rPr>
                <w:rFonts w:ascii="Calibri" w:hAnsi="Calibri"/>
                <w:b/>
                <w:i w:val="0"/>
                <w:color w:val="173B67"/>
                <w:sz w:val="22"/>
              </w:rPr>
              <w:t>Output</w:t>
            </w:r>
          </w:p>
        </w:tc>
        <w:tc>
          <w:tcPr>
            <w:tcW w:type="dxa" w:w="5472"/>
            <w:tcMar>
              <w:top w:w="95" w:type="dxa"/>
              <w:start w:w="130" w:type="dxa"/>
              <w:bottom w:w="95" w:type="dxa"/>
              <w:end w:w="130" w:type="dxa"/>
            </w:tcMar>
            <w:vAlign w:val="center"/>
          </w:tcPr>
          <w:p>
            <w:r>
              <w:rPr>
                <w:rFonts w:ascii="Calibri" w:hAnsi="Calibri"/>
                <w:b w:val="0"/>
                <w:i w:val="0"/>
                <w:color w:val="17212B"/>
                <w:sz w:val="22"/>
              </w:rPr>
              <w:t>Evidence-based market analysis report</w:t>
            </w:r>
          </w:p>
        </w:tc>
      </w:tr>
    </w:tbl>
    <w:p/>
    <w:p>
      <w:pPr>
        <w:spacing w:before="720"/>
        <w:jc w:val="center"/>
      </w:pPr>
      <w:r>
        <w:rPr>
          <w:rFonts w:ascii="Calibri" w:hAnsi="Calibri"/>
          <w:b w:val="0"/>
          <w:i w:val="0"/>
          <w:color w:val="536273"/>
          <w:sz w:val="19"/>
        </w:rPr>
        <w:t>Prepared from the original Problem 3 assignment brief</w:t>
      </w:r>
    </w:p>
    <w:p>
      <w:r>
        <w:br w:type="page"/>
      </w:r>
    </w:p>
    <w:p>
      <w:pPr>
        <w:pStyle w:val="Heading1"/>
        <w:keepNext/>
      </w:pPr>
      <w:r>
        <w:t>Executive Summary</w:t>
      </w:r>
    </w:p>
    <w:p>
      <w:pPr/>
      <w:r>
        <w:rPr>
          <w:rFonts w:ascii="Calibri" w:hAnsi="Calibri"/>
          <w:b w:val="0"/>
          <w:i w:val="0"/>
          <w:color w:val="17212B"/>
          <w:sz w:val="22"/>
        </w:rPr>
        <w:t>This design proposes a coordinated multi-agent research system for producing comprehensive market analysis reports. A research coordinator interprets the client question, activates the right specialist agents, manages dependencies, and decides when the evidence is mature enough for synthesis.</w:t>
      </w:r>
    </w:p>
    <w:p>
      <w:pPr/>
      <w:r>
        <w:rPr>
          <w:rFonts w:ascii="Calibri" w:hAnsi="Calibri"/>
          <w:b w:val="0"/>
          <w:i w:val="0"/>
          <w:color w:val="17212B"/>
          <w:sz w:val="22"/>
        </w:rPr>
        <w:t>The design does not treat the agents as isolated report writers. Every agent reads from and contributes to a structured collaborative state. Findings can therefore be challenged, extended, connected, or converted into new research tasks. The final report is built from synthesis threads that preserve the relationships among evidence, quantitative analysis, market trends, and competitor behavior.</w:t>
      </w:r>
    </w:p>
    <w:tbl>
      <w:tblPr>
        <w:tblW w:type="auto" w:w="0"/>
        <w:jc w:val="center"/>
        <w:tblLayout w:type="fixed"/>
        <w:tblLook w:firstColumn="1" w:firstRow="1" w:lastColumn="0" w:lastRow="0" w:noHBand="0" w:noVBand="1" w:val="04A0"/>
      </w:tblPr>
      <w:tblGrid>
        <w:gridCol w:w="9360"/>
      </w:tblGrid>
      <w:tr>
        <w:tc>
          <w:tcPr>
            <w:tcW w:type="dxa" w:w="9360"/>
            <w:shd w:fill="EAF2FC"/>
            <w:tcMar>
              <w:top w:w="150" w:type="dxa"/>
              <w:start w:w="180" w:type="dxa"/>
              <w:bottom w:w="150" w:type="dxa"/>
              <w:end w:w="180" w:type="dxa"/>
            </w:tcMar>
          </w:tcPr>
          <w:p>
            <w:pPr>
              <w:spacing w:after="60"/>
            </w:pPr>
            <w:r>
              <w:rPr>
                <w:rFonts w:ascii="Calibri" w:hAnsi="Calibri"/>
                <w:b/>
                <w:i w:val="0"/>
                <w:color w:val="2867B2"/>
                <w:sz w:val="22"/>
              </w:rPr>
              <w:t xml:space="preserve">Core design principle  </w:t>
            </w:r>
            <w:r>
              <w:rPr>
                <w:rFonts w:ascii="Calibri" w:hAnsi="Calibri"/>
                <w:b w:val="0"/>
                <w:i w:val="0"/>
                <w:color w:val="17212B"/>
                <w:sz w:val="22"/>
              </w:rPr>
              <w:t>The system creates value when one agent's work changes what another agent investigates or concludes.</w:t>
            </w:r>
          </w:p>
        </w:tc>
      </w:tr>
    </w:tbl>
    <w:p>
      <w:pPr>
        <w:spacing w:after="0"/>
      </w:pPr>
    </w:p>
    <w:p>
      <w:pPr>
        <w:pStyle w:val="Heading2"/>
        <w:keepNext/>
      </w:pPr>
      <w:r>
        <w:t>Design Goals</w:t>
      </w:r>
    </w:p>
    <w:p>
      <w:pPr>
        <w:pStyle w:val="ListBullet"/>
      </w:pPr>
      <w:r>
        <w:rPr>
          <w:rFonts w:ascii="Calibri" w:hAnsi="Calibri"/>
          <w:b w:val="0"/>
          <w:i w:val="0"/>
          <w:color w:val="17212B"/>
          <w:sz w:val="22"/>
        </w:rPr>
        <w:t>Create shared understanding instead of merely collecting separate agent outputs.</w:t>
      </w:r>
    </w:p>
    <w:p>
      <w:pPr>
        <w:pStyle w:val="ListBullet"/>
      </w:pPr>
      <w:r>
        <w:rPr>
          <w:rFonts w:ascii="Calibri" w:hAnsi="Calibri"/>
          <w:b w:val="0"/>
          <w:i w:val="0"/>
          <w:color w:val="17212B"/>
          <w:sz w:val="22"/>
        </w:rPr>
        <w:t>Make dependencies and handoffs explicit so agents receive the context they need.</w:t>
      </w:r>
    </w:p>
    <w:p>
      <w:pPr>
        <w:pStyle w:val="ListBullet"/>
      </w:pPr>
      <w:r>
        <w:rPr>
          <w:rFonts w:ascii="Calibri" w:hAnsi="Calibri"/>
          <w:b w:val="0"/>
          <w:i w:val="0"/>
          <w:color w:val="17212B"/>
          <w:sz w:val="22"/>
        </w:rPr>
        <w:t>Adapt the workflow to the question rather than running every agent in the same order.</w:t>
      </w:r>
    </w:p>
    <w:p>
      <w:pPr>
        <w:pStyle w:val="ListBullet"/>
      </w:pPr>
      <w:r>
        <w:rPr>
          <w:rFonts w:ascii="Calibri" w:hAnsi="Calibri"/>
          <w:b w:val="0"/>
          <w:i w:val="0"/>
          <w:color w:val="17212B"/>
          <w:sz w:val="22"/>
        </w:rPr>
        <w:t>Support investigation loops when evidence is incomplete, contradictory, or low confidence.</w:t>
      </w:r>
    </w:p>
    <w:p>
      <w:pPr>
        <w:pStyle w:val="ListBullet"/>
      </w:pPr>
      <w:r>
        <w:rPr>
          <w:rFonts w:ascii="Calibri" w:hAnsi="Calibri"/>
          <w:b w:val="0"/>
          <w:i w:val="0"/>
          <w:color w:val="17212B"/>
          <w:sz w:val="22"/>
        </w:rPr>
        <w:t>Begin synthesis only after coverage and quality conditions are satisfied.</w:t>
      </w:r>
    </w:p>
    <w:p>
      <w:pPr>
        <w:pStyle w:val="Heading1"/>
        <w:keepNext/>
      </w:pPr>
      <w:r>
        <w:t>1. System Architecture</w:t>
      </w:r>
    </w:p>
    <w:p>
      <w:pPr/>
      <w:r>
        <w:rPr>
          <w:rFonts w:ascii="Calibri" w:hAnsi="Calibri"/>
          <w:b w:val="0"/>
          <w:i w:val="0"/>
          <w:color w:val="17212B"/>
          <w:sz w:val="22"/>
        </w:rPr>
        <w:t>The architecture uses a coordinator pattern around a collaborative state. The coordinator has visibility into all specialists and the shared state, while specialists communicate through structured contributions and events. This reduces uncontrolled agent-to-agent links and makes the research process observable.</w:t>
      </w:r>
    </w:p>
    <w:p>
      <w:pPr>
        <w:spacing w:before="80" w:after="80"/>
        <w:jc w:val="center"/>
      </w:pPr>
      <w:r>
        <w:drawing>
          <wp:inline xmlns:a="http://schemas.openxmlformats.org/drawingml/2006/main" xmlns:pic="http://schemas.openxmlformats.org/drawingml/2006/picture">
            <wp:extent cx="5897880" cy="3612452"/>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897880" cy="3612452"/>
                    </a:xfrm>
                    <a:prstGeom prst="rect"/>
                  </pic:spPr>
                </pic:pic>
              </a:graphicData>
            </a:graphic>
          </wp:inline>
        </w:drawing>
      </w:r>
    </w:p>
    <w:p>
      <w:pPr>
        <w:spacing w:after="200"/>
        <w:jc w:val="center"/>
      </w:pPr>
      <w:r>
        <w:rPr>
          <w:rFonts w:ascii="Calibri" w:hAnsi="Calibri"/>
          <w:b w:val="0"/>
          <w:i/>
          <w:color w:val="536273"/>
          <w:sz w:val="18"/>
        </w:rPr>
        <w:t>Figure 1. The coordinator selects and sequences specialists; the collaborative state carries shared knowledge.</w:t>
      </w:r>
    </w:p>
    <w:p>
      <w:pPr>
        <w:pStyle w:val="Heading2"/>
        <w:keepNext/>
      </w:pPr>
      <w:r>
        <w:t>Architectural Responsibilities</w:t>
      </w:r>
    </w:p>
    <w:tbl>
      <w:tblPr>
        <w:tblW w:type="auto" w:w="0"/>
        <w:jc w:val="center"/>
        <w:tblLayout w:type="fixed"/>
        <w:tblLook w:firstColumn="1" w:firstRow="1" w:lastColumn="0" w:lastRow="0" w:noHBand="0" w:noVBand="1" w:val="04A0"/>
      </w:tblPr>
      <w:tblGrid>
        <w:gridCol w:w="4680"/>
        <w:gridCol w:w="4680"/>
      </w:tblGrid>
      <w:tr>
        <w:tc>
          <w:tcPr>
            <w:tcW w:type="dxa" w:w="2520"/>
            <w:shd w:fill="173B67"/>
          </w:tcPr>
          <w:p>
            <w:r>
              <w:rPr>
                <w:rFonts w:ascii="Calibri" w:hAnsi="Calibri"/>
                <w:b/>
                <w:i w:val="0"/>
                <w:color w:val="FFFFFF"/>
                <w:sz w:val="22"/>
              </w:rPr>
              <w:t>Component</w:t>
            </w:r>
          </w:p>
        </w:tc>
        <w:tc>
          <w:tcPr>
            <w:tcW w:type="dxa" w:w="6840"/>
            <w:shd w:fill="173B67"/>
          </w:tcPr>
          <w:p>
            <w:r>
              <w:rPr>
                <w:rFonts w:ascii="Calibri" w:hAnsi="Calibri"/>
                <w:b/>
                <w:i w:val="0"/>
                <w:color w:val="FFFFFF"/>
                <w:sz w:val="22"/>
              </w:rPr>
              <w:t>Responsibility</w:t>
            </w:r>
          </w:p>
        </w:tc>
      </w:tr>
      <w:tr>
        <w:tc>
          <w:tcPr>
            <w:tcW w:type="dxa" w:w="4680"/>
            <w:tcMar>
              <w:top w:w="100" w:type="dxa"/>
              <w:start w:w="120" w:type="dxa"/>
              <w:bottom w:w="100" w:type="dxa"/>
              <w:end w:w="120" w:type="dxa"/>
            </w:tcMar>
          </w:tcPr>
          <w:p>
            <w:r>
              <w:rPr>
                <w:rFonts w:ascii="Calibri" w:hAnsi="Calibri"/>
                <w:b/>
                <w:i w:val="0"/>
                <w:color w:val="173B67"/>
                <w:sz w:val="22"/>
              </w:rPr>
              <w:t>Research Coordinator</w:t>
            </w:r>
          </w:p>
        </w:tc>
        <w:tc>
          <w:tcPr>
            <w:tcW w:type="dxa" w:w="4680"/>
            <w:tcMar>
              <w:top w:w="100" w:type="dxa"/>
              <w:start w:w="120" w:type="dxa"/>
              <w:bottom w:w="100" w:type="dxa"/>
              <w:end w:w="120" w:type="dxa"/>
            </w:tcMar>
          </w:tcPr>
          <w:p>
            <w:r>
              <w:rPr>
                <w:rFonts w:ascii="Calibri" w:hAnsi="Calibri"/>
                <w:b w:val="0"/>
                <w:i w:val="0"/>
                <w:color w:val="17212B"/>
                <w:sz w:val="22"/>
              </w:rPr>
              <w:t>Interprets the request, creates the plan, activates agents, resolves dependencies, and applies readiness gates.</w:t>
            </w:r>
          </w:p>
        </w:tc>
      </w:tr>
      <w:tr>
        <w:tc>
          <w:tcPr>
            <w:tcW w:type="dxa" w:w="4680"/>
            <w:tcMar>
              <w:top w:w="100" w:type="dxa"/>
              <w:start w:w="120" w:type="dxa"/>
              <w:bottom w:w="100" w:type="dxa"/>
              <w:end w:w="120" w:type="dxa"/>
            </w:tcMar>
          </w:tcPr>
          <w:p>
            <w:r>
              <w:rPr>
                <w:rFonts w:ascii="Calibri" w:hAnsi="Calibri"/>
                <w:b/>
                <w:i w:val="0"/>
                <w:color w:val="173B67"/>
                <w:sz w:val="22"/>
              </w:rPr>
              <w:t>Specialist Agents</w:t>
            </w:r>
          </w:p>
        </w:tc>
        <w:tc>
          <w:tcPr>
            <w:tcW w:type="dxa" w:w="4680"/>
            <w:tcMar>
              <w:top w:w="100" w:type="dxa"/>
              <w:start w:w="120" w:type="dxa"/>
              <w:bottom w:w="100" w:type="dxa"/>
              <w:end w:w="120" w:type="dxa"/>
            </w:tcMar>
          </w:tcPr>
          <w:p>
            <w:r>
              <w:rPr>
                <w:rFonts w:ascii="Calibri" w:hAnsi="Calibri"/>
                <w:b w:val="0"/>
                <w:i w:val="0"/>
                <w:color w:val="17212B"/>
                <w:sz w:val="22"/>
              </w:rPr>
              <w:t>Perform bounded research or analysis using the context and evidence relevant to their expertise.</w:t>
            </w:r>
          </w:p>
        </w:tc>
      </w:tr>
      <w:tr>
        <w:tc>
          <w:tcPr>
            <w:tcW w:type="dxa" w:w="4680"/>
            <w:tcMar>
              <w:top w:w="100" w:type="dxa"/>
              <w:start w:w="120" w:type="dxa"/>
              <w:bottom w:w="100" w:type="dxa"/>
              <w:end w:w="120" w:type="dxa"/>
            </w:tcMar>
          </w:tcPr>
          <w:p>
            <w:r>
              <w:rPr>
                <w:rFonts w:ascii="Calibri" w:hAnsi="Calibri"/>
                <w:b/>
                <w:i w:val="0"/>
                <w:color w:val="173B67"/>
                <w:sz w:val="22"/>
              </w:rPr>
              <w:t>Collaborative State</w:t>
            </w:r>
          </w:p>
        </w:tc>
        <w:tc>
          <w:tcPr>
            <w:tcW w:type="dxa" w:w="4680"/>
            <w:tcMar>
              <w:top w:w="100" w:type="dxa"/>
              <w:start w:w="120" w:type="dxa"/>
              <w:bottom w:w="100" w:type="dxa"/>
              <w:end w:w="120" w:type="dxa"/>
            </w:tcMar>
          </w:tcPr>
          <w:p>
            <w:r>
              <w:rPr>
                <w:rFonts w:ascii="Calibri" w:hAnsi="Calibri"/>
                <w:b w:val="0"/>
                <w:i w:val="0"/>
                <w:color w:val="17212B"/>
                <w:sz w:val="22"/>
              </w:rPr>
              <w:t>Stores research context, evidence, reasoning, links, unresolved questions, and synthesis threads.</w:t>
            </w:r>
          </w:p>
        </w:tc>
      </w:tr>
      <w:tr>
        <w:tc>
          <w:tcPr>
            <w:tcW w:type="dxa" w:w="4680"/>
            <w:tcMar>
              <w:top w:w="100" w:type="dxa"/>
              <w:start w:w="120" w:type="dxa"/>
              <w:bottom w:w="100" w:type="dxa"/>
              <w:end w:w="120" w:type="dxa"/>
            </w:tcMar>
          </w:tcPr>
          <w:p>
            <w:r>
              <w:rPr>
                <w:rFonts w:ascii="Calibri" w:hAnsi="Calibri"/>
                <w:b/>
                <w:i w:val="0"/>
                <w:color w:val="173B67"/>
                <w:sz w:val="22"/>
              </w:rPr>
              <w:t>Synthesis Agent</w:t>
            </w:r>
          </w:p>
        </w:tc>
        <w:tc>
          <w:tcPr>
            <w:tcW w:type="dxa" w:w="4680"/>
            <w:tcMar>
              <w:top w:w="100" w:type="dxa"/>
              <w:start w:w="120" w:type="dxa"/>
              <w:bottom w:w="100" w:type="dxa"/>
              <w:end w:w="120" w:type="dxa"/>
            </w:tcMar>
          </w:tcPr>
          <w:p>
            <w:r>
              <w:rPr>
                <w:rFonts w:ascii="Calibri" w:hAnsi="Calibri"/>
                <w:b w:val="0"/>
                <w:i w:val="0"/>
                <w:color w:val="17212B"/>
                <w:sz w:val="22"/>
              </w:rPr>
              <w:t>Builds an integrated report from validated threads rather than concatenating agent summaries.</w:t>
            </w:r>
          </w:p>
        </w:tc>
      </w:tr>
    </w:tbl>
    <w:p>
      <w:r>
        <w:br w:type="page"/>
      </w:r>
    </w:p>
    <w:p>
      <w:pPr>
        <w:pStyle w:val="Heading1"/>
        <w:keepNext/>
      </w:pPr>
      <w:r>
        <w:t>2. Collaborative State Architecture</w:t>
      </w:r>
    </w:p>
    <w:p>
      <w:pPr/>
      <w:r>
        <w:rPr>
          <w:rFonts w:ascii="Calibri" w:hAnsi="Calibri"/>
          <w:b w:val="0"/>
          <w:i w:val="0"/>
          <w:color w:val="17212B"/>
          <w:sz w:val="22"/>
        </w:rPr>
        <w:t>The shared state is organized into five layers. Each layer has a distinct purpose, owner expectations, and quality rules. This prevents the state from becoming a single unstructured container that every agent edits differently.</w:t>
      </w:r>
    </w:p>
    <w:p>
      <w:pPr>
        <w:spacing w:before="80" w:after="80"/>
        <w:jc w:val="center"/>
      </w:pPr>
      <w:r>
        <w:drawing>
          <wp:inline xmlns:a="http://schemas.openxmlformats.org/drawingml/2006/main" xmlns:pic="http://schemas.openxmlformats.org/drawingml/2006/picture">
            <wp:extent cx="5897880" cy="3317558"/>
            <wp:docPr id="2" name="Picture 2"/>
            <wp:cNvGraphicFramePr>
              <a:graphicFrameLocks noChangeAspect="1"/>
            </wp:cNvGraphicFramePr>
            <a:graphic>
              <a:graphicData uri="http://schemas.openxmlformats.org/drawingml/2006/picture">
                <pic:pic>
                  <pic:nvPicPr>
                    <pic:cNvPr id="0" name="state_lifecycle.png"/>
                    <pic:cNvPicPr/>
                  </pic:nvPicPr>
                  <pic:blipFill>
                    <a:blip r:embed="rId12"/>
                    <a:stretch>
                      <a:fillRect/>
                    </a:stretch>
                  </pic:blipFill>
                  <pic:spPr>
                    <a:xfrm>
                      <a:off x="0" y="0"/>
                      <a:ext cx="5897880" cy="3317558"/>
                    </a:xfrm>
                    <a:prstGeom prst="rect"/>
                  </pic:spPr>
                </pic:pic>
              </a:graphicData>
            </a:graphic>
          </wp:inline>
        </w:drawing>
      </w:r>
    </w:p>
    <w:p>
      <w:pPr>
        <w:spacing w:after="200"/>
        <w:jc w:val="center"/>
      </w:pPr>
      <w:r>
        <w:rPr>
          <w:rFonts w:ascii="Calibri" w:hAnsi="Calibri"/>
          <w:b w:val="0"/>
          <w:i/>
          <w:color w:val="536273"/>
          <w:sz w:val="18"/>
        </w:rPr>
        <w:t>Figure 2. Contributions are converted into connected reasoning and synthesis threads, with feedback when gaps remain.</w:t>
      </w:r>
    </w:p>
    <w:p>
      <w:r>
        <w:br w:type="page"/>
      </w:r>
    </w:p>
    <w:p>
      <w:pPr>
        <w:pStyle w:val="Heading2"/>
        <w:keepNext/>
      </w:pPr>
      <w:r>
        <w:t>State Schema</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800"/>
            <w:shd w:fill="173B67"/>
          </w:tcPr>
          <w:p>
            <w:r>
              <w:rPr>
                <w:rFonts w:ascii="Calibri" w:hAnsi="Calibri"/>
                <w:b/>
                <w:i w:val="0"/>
                <w:color w:val="FFFFFF"/>
                <w:sz w:val="19"/>
              </w:rPr>
              <w:t>State Layer</w:t>
            </w:r>
          </w:p>
        </w:tc>
        <w:tc>
          <w:tcPr>
            <w:tcW w:type="dxa" w:w="3671"/>
            <w:shd w:fill="173B67"/>
          </w:tcPr>
          <w:p>
            <w:r>
              <w:rPr>
                <w:rFonts w:ascii="Calibri" w:hAnsi="Calibri"/>
                <w:b/>
                <w:i w:val="0"/>
                <w:color w:val="FFFFFF"/>
                <w:sz w:val="19"/>
              </w:rPr>
              <w:t>Representative Fields</w:t>
            </w:r>
          </w:p>
        </w:tc>
        <w:tc>
          <w:tcPr>
            <w:tcW w:type="dxa" w:w="1512"/>
            <w:shd w:fill="173B67"/>
          </w:tcPr>
          <w:p>
            <w:r>
              <w:rPr>
                <w:rFonts w:ascii="Calibri" w:hAnsi="Calibri"/>
                <w:b/>
                <w:i w:val="0"/>
                <w:color w:val="FFFFFF"/>
                <w:sz w:val="19"/>
              </w:rPr>
              <w:t>Primary Writer</w:t>
            </w:r>
          </w:p>
        </w:tc>
        <w:tc>
          <w:tcPr>
            <w:tcW w:type="dxa" w:w="2376"/>
            <w:shd w:fill="173B67"/>
          </w:tcPr>
          <w:p>
            <w:r>
              <w:rPr>
                <w:rFonts w:ascii="Calibri" w:hAnsi="Calibri"/>
                <w:b/>
                <w:i w:val="0"/>
                <w:color w:val="FFFFFF"/>
                <w:sz w:val="19"/>
              </w:rPr>
              <w:t>Purpose</w:t>
            </w:r>
          </w:p>
        </w:tc>
      </w:tr>
      <w:tr>
        <w:tc>
          <w:tcPr>
            <w:tcW w:type="dxa" w:w="2340"/>
            <w:tcMar>
              <w:top w:w="90" w:type="dxa"/>
              <w:start w:w="95" w:type="dxa"/>
              <w:bottom w:w="90" w:type="dxa"/>
              <w:end w:w="95" w:type="dxa"/>
            </w:tcMar>
            <w:vAlign w:val="center"/>
          </w:tcPr>
          <w:p>
            <w:r>
              <w:rPr>
                <w:rFonts w:ascii="Calibri" w:hAnsi="Calibri"/>
                <w:b/>
                <w:i w:val="0"/>
                <w:color w:val="173B67"/>
                <w:sz w:val="17"/>
              </w:rPr>
              <w:t>Shared Research Context</w:t>
            </w:r>
          </w:p>
        </w:tc>
        <w:tc>
          <w:tcPr>
            <w:tcW w:type="dxa" w:w="2340"/>
            <w:tcMar>
              <w:top w:w="90" w:type="dxa"/>
              <w:start w:w="95" w:type="dxa"/>
              <w:bottom w:w="90" w:type="dxa"/>
              <w:end w:w="95" w:type="dxa"/>
            </w:tcMar>
            <w:vAlign w:val="center"/>
          </w:tcPr>
          <w:p>
            <w:r>
              <w:rPr>
                <w:rFonts w:ascii="Calibri" w:hAnsi="Calibri"/>
                <w:b w:val="0"/>
                <w:i w:val="0"/>
                <w:color w:val="17212B"/>
                <w:sz w:val="17"/>
              </w:rPr>
              <w:t>research_question, client_objective, scope, geography, time_horizon, definitions, constraints, success_criteria</w:t>
            </w:r>
          </w:p>
        </w:tc>
        <w:tc>
          <w:tcPr>
            <w:tcW w:type="dxa" w:w="2340"/>
            <w:tcMar>
              <w:top w:w="90" w:type="dxa"/>
              <w:start w:w="95" w:type="dxa"/>
              <w:bottom w:w="90" w:type="dxa"/>
              <w:end w:w="95" w:type="dxa"/>
            </w:tcMar>
            <w:vAlign w:val="center"/>
          </w:tcPr>
          <w:p>
            <w:r>
              <w:rPr>
                <w:rFonts w:ascii="Calibri" w:hAnsi="Calibri"/>
                <w:b w:val="0"/>
                <w:i w:val="0"/>
                <w:color w:val="17212B"/>
                <w:sz w:val="17"/>
              </w:rPr>
              <w:t>Coordinator</w:t>
            </w:r>
          </w:p>
        </w:tc>
        <w:tc>
          <w:tcPr>
            <w:tcW w:type="dxa" w:w="2340"/>
            <w:tcMar>
              <w:top w:w="90" w:type="dxa"/>
              <w:start w:w="95" w:type="dxa"/>
              <w:bottom w:w="90" w:type="dxa"/>
              <w:end w:w="95" w:type="dxa"/>
            </w:tcMar>
            <w:vAlign w:val="center"/>
          </w:tcPr>
          <w:p>
            <w:r>
              <w:rPr>
                <w:rFonts w:ascii="Calibri" w:hAnsi="Calibri"/>
                <w:b w:val="0"/>
                <w:i w:val="0"/>
                <w:color w:val="17212B"/>
                <w:sz w:val="17"/>
              </w:rPr>
              <w:t>Stable framing used by every agent</w:t>
            </w:r>
          </w:p>
        </w:tc>
      </w:tr>
      <w:tr>
        <w:tc>
          <w:tcPr>
            <w:tcW w:type="dxa" w:w="2340"/>
            <w:tcMar>
              <w:top w:w="90" w:type="dxa"/>
              <w:start w:w="95" w:type="dxa"/>
              <w:bottom w:w="90" w:type="dxa"/>
              <w:end w:w="95" w:type="dxa"/>
            </w:tcMar>
            <w:vAlign w:val="center"/>
          </w:tcPr>
          <w:p>
            <w:r>
              <w:rPr>
                <w:rFonts w:ascii="Calibri" w:hAnsi="Calibri"/>
                <w:b/>
                <w:i w:val="0"/>
                <w:color w:val="173B67"/>
                <w:sz w:val="17"/>
              </w:rPr>
              <w:t>Agent Contributions</w:t>
            </w:r>
          </w:p>
        </w:tc>
        <w:tc>
          <w:tcPr>
            <w:tcW w:type="dxa" w:w="2340"/>
            <w:tcMar>
              <w:top w:w="90" w:type="dxa"/>
              <w:start w:w="95" w:type="dxa"/>
              <w:bottom w:w="90" w:type="dxa"/>
              <w:end w:w="95" w:type="dxa"/>
            </w:tcMar>
            <w:vAlign w:val="center"/>
          </w:tcPr>
          <w:p>
            <w:r>
              <w:rPr>
                <w:rFonts w:ascii="Calibri" w:hAnsi="Calibri"/>
                <w:b w:val="0"/>
                <w:i w:val="0"/>
                <w:color w:val="17212B"/>
                <w:sz w:val="17"/>
              </w:rPr>
              <w:t>agent_id, finding, evidence, source, confidence, assumptions, timestamp, related_question</w:t>
            </w:r>
          </w:p>
        </w:tc>
        <w:tc>
          <w:tcPr>
            <w:tcW w:type="dxa" w:w="2340"/>
            <w:tcMar>
              <w:top w:w="90" w:type="dxa"/>
              <w:start w:w="95" w:type="dxa"/>
              <w:bottom w:w="90" w:type="dxa"/>
              <w:end w:w="95" w:type="dxa"/>
            </w:tcMar>
            <w:vAlign w:val="center"/>
          </w:tcPr>
          <w:p>
            <w:r>
              <w:rPr>
                <w:rFonts w:ascii="Calibri" w:hAnsi="Calibri"/>
                <w:b w:val="0"/>
                <w:i w:val="0"/>
                <w:color w:val="17212B"/>
                <w:sz w:val="17"/>
              </w:rPr>
              <w:t>Specialist agents</w:t>
            </w:r>
          </w:p>
        </w:tc>
        <w:tc>
          <w:tcPr>
            <w:tcW w:type="dxa" w:w="2340"/>
            <w:tcMar>
              <w:top w:w="90" w:type="dxa"/>
              <w:start w:w="95" w:type="dxa"/>
              <w:bottom w:w="90" w:type="dxa"/>
              <w:end w:w="95" w:type="dxa"/>
            </w:tcMar>
            <w:vAlign w:val="center"/>
          </w:tcPr>
          <w:p>
            <w:r>
              <w:rPr>
                <w:rFonts w:ascii="Calibri" w:hAnsi="Calibri"/>
                <w:b w:val="0"/>
                <w:i w:val="0"/>
                <w:color w:val="17212B"/>
                <w:sz w:val="17"/>
              </w:rPr>
              <w:t>Traceable domain findings</w:t>
            </w:r>
          </w:p>
        </w:tc>
      </w:tr>
      <w:tr>
        <w:tc>
          <w:tcPr>
            <w:tcW w:type="dxa" w:w="2340"/>
            <w:tcMar>
              <w:top w:w="90" w:type="dxa"/>
              <w:start w:w="95" w:type="dxa"/>
              <w:bottom w:w="90" w:type="dxa"/>
              <w:end w:w="95" w:type="dxa"/>
            </w:tcMar>
            <w:vAlign w:val="center"/>
          </w:tcPr>
          <w:p>
            <w:r>
              <w:rPr>
                <w:rFonts w:ascii="Calibri" w:hAnsi="Calibri"/>
                <w:b/>
                <w:i w:val="0"/>
                <w:color w:val="173B67"/>
                <w:sz w:val="17"/>
              </w:rPr>
              <w:t>Cross-Agent Insights</w:t>
            </w:r>
          </w:p>
        </w:tc>
        <w:tc>
          <w:tcPr>
            <w:tcW w:type="dxa" w:w="2340"/>
            <w:tcMar>
              <w:top w:w="90" w:type="dxa"/>
              <w:start w:w="95" w:type="dxa"/>
              <w:bottom w:w="90" w:type="dxa"/>
              <w:end w:w="95" w:type="dxa"/>
            </w:tcMar>
            <w:vAlign w:val="center"/>
          </w:tcPr>
          <w:p>
            <w:r>
              <w:rPr>
                <w:rFonts w:ascii="Calibri" w:hAnsi="Calibri"/>
                <w:b w:val="0"/>
                <w:i w:val="0"/>
                <w:color w:val="17212B"/>
                <w:sz w:val="17"/>
              </w:rPr>
              <w:t>linked_findings, relationship_type, explanation, supporting_agents, confidence</w:t>
            </w:r>
          </w:p>
        </w:tc>
        <w:tc>
          <w:tcPr>
            <w:tcW w:type="dxa" w:w="2340"/>
            <w:tcMar>
              <w:top w:w="90" w:type="dxa"/>
              <w:start w:w="95" w:type="dxa"/>
              <w:bottom w:w="90" w:type="dxa"/>
              <w:end w:w="95" w:type="dxa"/>
            </w:tcMar>
            <w:vAlign w:val="center"/>
          </w:tcPr>
          <w:p>
            <w:r>
              <w:rPr>
                <w:rFonts w:ascii="Calibri" w:hAnsi="Calibri"/>
                <w:b w:val="0"/>
                <w:i w:val="0"/>
                <w:color w:val="17212B"/>
                <w:sz w:val="17"/>
              </w:rPr>
              <w:t>Any agent or coordinator</w:t>
            </w:r>
          </w:p>
        </w:tc>
        <w:tc>
          <w:tcPr>
            <w:tcW w:type="dxa" w:w="2340"/>
            <w:tcMar>
              <w:top w:w="90" w:type="dxa"/>
              <w:start w:w="95" w:type="dxa"/>
              <w:bottom w:w="90" w:type="dxa"/>
              <w:end w:w="95" w:type="dxa"/>
            </w:tcMar>
            <w:vAlign w:val="center"/>
          </w:tcPr>
          <w:p>
            <w:r>
              <w:rPr>
                <w:rFonts w:ascii="Calibri" w:hAnsi="Calibri"/>
                <w:b w:val="0"/>
                <w:i w:val="0"/>
                <w:color w:val="17212B"/>
                <w:sz w:val="17"/>
              </w:rPr>
              <w:t>Connections across domains</w:t>
            </w:r>
          </w:p>
        </w:tc>
      </w:tr>
      <w:tr>
        <w:tc>
          <w:tcPr>
            <w:tcW w:type="dxa" w:w="2340"/>
            <w:tcMar>
              <w:top w:w="90" w:type="dxa"/>
              <w:start w:w="95" w:type="dxa"/>
              <w:bottom w:w="90" w:type="dxa"/>
              <w:end w:w="95" w:type="dxa"/>
            </w:tcMar>
            <w:vAlign w:val="center"/>
          </w:tcPr>
          <w:p>
            <w:r>
              <w:rPr>
                <w:rFonts w:ascii="Calibri" w:hAnsi="Calibri"/>
                <w:b/>
                <w:i w:val="0"/>
                <w:color w:val="173B67"/>
                <w:sz w:val="17"/>
              </w:rPr>
              <w:t>Collaborative Reasoning</w:t>
            </w:r>
          </w:p>
        </w:tc>
        <w:tc>
          <w:tcPr>
            <w:tcW w:type="dxa" w:w="2340"/>
            <w:tcMar>
              <w:top w:w="90" w:type="dxa"/>
              <w:start w:w="95" w:type="dxa"/>
              <w:bottom w:w="90" w:type="dxa"/>
              <w:end w:w="95" w:type="dxa"/>
            </w:tcMar>
            <w:vAlign w:val="center"/>
          </w:tcPr>
          <w:p>
            <w:r>
              <w:rPr>
                <w:rFonts w:ascii="Calibri" w:hAnsi="Calibri"/>
                <w:b w:val="0"/>
                <w:i w:val="0"/>
                <w:color w:val="17212B"/>
                <w:sz w:val="17"/>
              </w:rPr>
              <w:t>hypotheses, confirmations, contradictions, open_questions, agreed_interpretations</w:t>
            </w:r>
          </w:p>
        </w:tc>
        <w:tc>
          <w:tcPr>
            <w:tcW w:type="dxa" w:w="2340"/>
            <w:tcMar>
              <w:top w:w="90" w:type="dxa"/>
              <w:start w:w="95" w:type="dxa"/>
              <w:bottom w:w="90" w:type="dxa"/>
              <w:end w:w="95" w:type="dxa"/>
            </w:tcMar>
            <w:vAlign w:val="center"/>
          </w:tcPr>
          <w:p>
            <w:r>
              <w:rPr>
                <w:rFonts w:ascii="Calibri" w:hAnsi="Calibri"/>
                <w:b w:val="0"/>
                <w:i w:val="0"/>
                <w:color w:val="17212B"/>
                <w:sz w:val="17"/>
              </w:rPr>
              <w:t>Coordinator and specialists</w:t>
            </w:r>
          </w:p>
        </w:tc>
        <w:tc>
          <w:tcPr>
            <w:tcW w:type="dxa" w:w="2340"/>
            <w:tcMar>
              <w:top w:w="90" w:type="dxa"/>
              <w:start w:w="95" w:type="dxa"/>
              <w:bottom w:w="90" w:type="dxa"/>
              <w:end w:w="95" w:type="dxa"/>
            </w:tcMar>
            <w:vAlign w:val="center"/>
          </w:tcPr>
          <w:p>
            <w:r>
              <w:rPr>
                <w:rFonts w:ascii="Calibri" w:hAnsi="Calibri"/>
                <w:b w:val="0"/>
                <w:i w:val="0"/>
                <w:color w:val="17212B"/>
                <w:sz w:val="17"/>
              </w:rPr>
              <w:t>Evolving shared understanding</w:t>
            </w:r>
          </w:p>
        </w:tc>
      </w:tr>
      <w:tr>
        <w:tc>
          <w:tcPr>
            <w:tcW w:type="dxa" w:w="2340"/>
            <w:tcMar>
              <w:top w:w="90" w:type="dxa"/>
              <w:start w:w="95" w:type="dxa"/>
              <w:bottom w:w="90" w:type="dxa"/>
              <w:end w:w="95" w:type="dxa"/>
            </w:tcMar>
            <w:vAlign w:val="center"/>
          </w:tcPr>
          <w:p>
            <w:r>
              <w:rPr>
                <w:rFonts w:ascii="Calibri" w:hAnsi="Calibri"/>
                <w:b/>
                <w:i w:val="0"/>
                <w:color w:val="173B67"/>
                <w:sz w:val="17"/>
              </w:rPr>
              <w:t>Synthesis Threads</w:t>
            </w:r>
          </w:p>
        </w:tc>
        <w:tc>
          <w:tcPr>
            <w:tcW w:type="dxa" w:w="2340"/>
            <w:tcMar>
              <w:top w:w="90" w:type="dxa"/>
              <w:start w:w="95" w:type="dxa"/>
              <w:bottom w:w="90" w:type="dxa"/>
              <w:end w:w="95" w:type="dxa"/>
            </w:tcMar>
            <w:vAlign w:val="center"/>
          </w:tcPr>
          <w:p>
            <w:r>
              <w:rPr>
                <w:rFonts w:ascii="Calibri" w:hAnsi="Calibri"/>
                <w:b w:val="0"/>
                <w:i w:val="0"/>
                <w:color w:val="17212B"/>
                <w:sz w:val="17"/>
              </w:rPr>
              <w:t>thread_title, claim, supporting_evidence, implications, risks, unresolved_items</w:t>
            </w:r>
          </w:p>
        </w:tc>
        <w:tc>
          <w:tcPr>
            <w:tcW w:type="dxa" w:w="2340"/>
            <w:tcMar>
              <w:top w:w="90" w:type="dxa"/>
              <w:start w:w="95" w:type="dxa"/>
              <w:bottom w:w="90" w:type="dxa"/>
              <w:end w:w="95" w:type="dxa"/>
            </w:tcMar>
            <w:vAlign w:val="center"/>
          </w:tcPr>
          <w:p>
            <w:r>
              <w:rPr>
                <w:rFonts w:ascii="Calibri" w:hAnsi="Calibri"/>
                <w:b w:val="0"/>
                <w:i w:val="0"/>
                <w:color w:val="17212B"/>
                <w:sz w:val="17"/>
              </w:rPr>
              <w:t>Synthesis agent</w:t>
            </w:r>
          </w:p>
        </w:tc>
        <w:tc>
          <w:tcPr>
            <w:tcW w:type="dxa" w:w="2340"/>
            <w:tcMar>
              <w:top w:w="90" w:type="dxa"/>
              <w:start w:w="95" w:type="dxa"/>
              <w:bottom w:w="90" w:type="dxa"/>
              <w:end w:w="95" w:type="dxa"/>
            </w:tcMar>
            <w:vAlign w:val="center"/>
          </w:tcPr>
          <w:p>
            <w:r>
              <w:rPr>
                <w:rFonts w:ascii="Calibri" w:hAnsi="Calibri"/>
                <w:b w:val="0"/>
                <w:i w:val="0"/>
                <w:color w:val="17212B"/>
                <w:sz w:val="17"/>
              </w:rPr>
              <w:t>Report-ready narratives</w:t>
            </w:r>
          </w:p>
        </w:tc>
      </w:tr>
    </w:tbl>
    <w:p>
      <w:pPr>
        <w:pStyle w:val="Heading2"/>
        <w:keepNext/>
      </w:pPr>
      <w:r>
        <w:t>State Update Rules</w:t>
      </w:r>
    </w:p>
    <w:p>
      <w:pPr>
        <w:pStyle w:val="ListNumber"/>
        <w:numPr>
          <w:ilvl w:val="0"/>
          <w:numId w:val="10"/>
        </w:numPr>
      </w:pPr>
      <w:r>
        <w:rPr>
          <w:rFonts w:ascii="Calibri" w:hAnsi="Calibri"/>
          <w:b w:val="0"/>
          <w:i w:val="0"/>
          <w:color w:val="17212B"/>
          <w:sz w:val="22"/>
        </w:rPr>
        <w:t>Append evidence rather than silently replacing another agent's finding.</w:t>
      </w:r>
    </w:p>
    <w:p>
      <w:pPr>
        <w:pStyle w:val="ListNumber"/>
        <w:numPr>
          <w:ilvl w:val="0"/>
          <w:numId w:val="10"/>
        </w:numPr>
      </w:pPr>
      <w:r>
        <w:rPr>
          <w:rFonts w:ascii="Calibri" w:hAnsi="Calibri"/>
          <w:b w:val="0"/>
          <w:i w:val="0"/>
          <w:color w:val="17212B"/>
          <w:sz w:val="22"/>
        </w:rPr>
        <w:t>Attach a source and confidence level to every material claim.</w:t>
      </w:r>
    </w:p>
    <w:p>
      <w:pPr>
        <w:pStyle w:val="ListNumber"/>
        <w:numPr>
          <w:ilvl w:val="0"/>
          <w:numId w:val="10"/>
        </w:numPr>
      </w:pPr>
      <w:r>
        <w:rPr>
          <w:rFonts w:ascii="Calibri" w:hAnsi="Calibri"/>
          <w:b w:val="0"/>
          <w:i w:val="0"/>
          <w:color w:val="17212B"/>
          <w:sz w:val="22"/>
        </w:rPr>
        <w:t>Represent disagreement explicitly as a contradiction or competing hypothesis.</w:t>
      </w:r>
    </w:p>
    <w:p>
      <w:pPr>
        <w:pStyle w:val="ListNumber"/>
        <w:numPr>
          <w:ilvl w:val="0"/>
          <w:numId w:val="10"/>
        </w:numPr>
      </w:pPr>
      <w:r>
        <w:rPr>
          <w:rFonts w:ascii="Calibri" w:hAnsi="Calibri"/>
          <w:b w:val="0"/>
          <w:i w:val="0"/>
          <w:color w:val="17212B"/>
          <w:sz w:val="22"/>
        </w:rPr>
        <w:t>Link new insights to the findings that support them.</w:t>
      </w:r>
    </w:p>
    <w:p>
      <w:pPr>
        <w:pStyle w:val="ListNumber"/>
        <w:numPr>
          <w:ilvl w:val="0"/>
          <w:numId w:val="10"/>
        </w:numPr>
      </w:pPr>
      <w:r>
        <w:rPr>
          <w:rFonts w:ascii="Calibri" w:hAnsi="Calibri"/>
          <w:b w:val="0"/>
          <w:i w:val="0"/>
          <w:color w:val="17212B"/>
          <w:sz w:val="22"/>
        </w:rPr>
        <w:t>Promote content into synthesis threads only after evidence and dependency checks.</w:t>
      </w:r>
    </w:p>
    <w:p>
      <w:r>
        <w:br w:type="page"/>
      </w:r>
    </w:p>
    <w:p>
      <w:pPr>
        <w:pStyle w:val="Heading1"/>
        <w:keepNext/>
      </w:pPr>
      <w:r>
        <w:t>3. Agent Coordination Matrix</w:t>
      </w:r>
    </w:p>
    <w:p>
      <w:pPr/>
      <w:r>
        <w:rPr>
          <w:rFonts w:ascii="Calibri" w:hAnsi="Calibri"/>
          <w:b w:val="0"/>
          <w:i w:val="0"/>
          <w:color w:val="17212B"/>
          <w:sz w:val="22"/>
        </w:rPr>
        <w:t>Each agent has a bounded role, but its work is intentionally connected to the others. The matrix below defines what each agent needs, contributes, responds to, and signals.</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512"/>
            <w:shd w:fill="173B67"/>
          </w:tcPr>
          <w:p>
            <w:r>
              <w:rPr>
                <w:rFonts w:ascii="Calibri" w:hAnsi="Calibri"/>
                <w:b/>
                <w:i w:val="0"/>
                <w:color w:val="FFFFFF"/>
                <w:sz w:val="17"/>
              </w:rPr>
              <w:t>Agent</w:t>
            </w:r>
          </w:p>
        </w:tc>
        <w:tc>
          <w:tcPr>
            <w:tcW w:type="dxa" w:w="1944"/>
            <w:shd w:fill="173B67"/>
          </w:tcPr>
          <w:p>
            <w:r>
              <w:rPr>
                <w:rFonts w:ascii="Calibri" w:hAnsi="Calibri"/>
                <w:b/>
                <w:i w:val="0"/>
                <w:color w:val="FFFFFF"/>
                <w:sz w:val="17"/>
              </w:rPr>
              <w:t>Needs</w:t>
            </w:r>
          </w:p>
        </w:tc>
        <w:tc>
          <w:tcPr>
            <w:tcW w:type="dxa" w:w="2232"/>
            <w:shd w:fill="173B67"/>
          </w:tcPr>
          <w:p>
            <w:r>
              <w:rPr>
                <w:rFonts w:ascii="Calibri" w:hAnsi="Calibri"/>
                <w:b/>
                <w:i w:val="0"/>
                <w:color w:val="FFFFFF"/>
                <w:sz w:val="17"/>
              </w:rPr>
              <w:t>Contributes</w:t>
            </w:r>
          </w:p>
        </w:tc>
        <w:tc>
          <w:tcPr>
            <w:tcW w:type="dxa" w:w="1872"/>
            <w:shd w:fill="173B67"/>
          </w:tcPr>
          <w:p>
            <w:r>
              <w:rPr>
                <w:rFonts w:ascii="Calibri" w:hAnsi="Calibri"/>
                <w:b/>
                <w:i w:val="0"/>
                <w:color w:val="FFFFFF"/>
                <w:sz w:val="17"/>
              </w:rPr>
              <w:t>Responds To</w:t>
            </w:r>
          </w:p>
        </w:tc>
        <w:tc>
          <w:tcPr>
            <w:tcW w:type="dxa" w:w="1800"/>
            <w:shd w:fill="173B67"/>
          </w:tcPr>
          <w:p>
            <w:r>
              <w:rPr>
                <w:rFonts w:ascii="Calibri" w:hAnsi="Calibri"/>
                <w:b/>
                <w:i w:val="0"/>
                <w:color w:val="FFFFFF"/>
                <w:sz w:val="17"/>
              </w:rPr>
              <w:t>Signals</w:t>
            </w:r>
          </w:p>
        </w:tc>
      </w:tr>
      <w:tr>
        <w:tc>
          <w:tcPr>
            <w:tcW w:type="dxa" w:w="1872"/>
            <w:shd w:fill="EAF2FC"/>
            <w:tcMar>
              <w:top w:w="80" w:type="dxa"/>
              <w:start w:w="85" w:type="dxa"/>
              <w:bottom w:w="80" w:type="dxa"/>
              <w:end w:w="85" w:type="dxa"/>
            </w:tcMar>
            <w:vAlign w:val="center"/>
          </w:tcPr>
          <w:p>
            <w:r>
              <w:rPr>
                <w:rFonts w:ascii="Calibri" w:hAnsi="Calibri"/>
                <w:b/>
                <w:i w:val="0"/>
                <w:color w:val="173B67"/>
                <w:sz w:val="16"/>
              </w:rPr>
              <w:t>Web Research</w:t>
            </w:r>
          </w:p>
        </w:tc>
        <w:tc>
          <w:tcPr>
            <w:tcW w:type="dxa" w:w="1872"/>
            <w:tcMar>
              <w:top w:w="80" w:type="dxa"/>
              <w:start w:w="85" w:type="dxa"/>
              <w:bottom w:w="80" w:type="dxa"/>
              <w:end w:w="85" w:type="dxa"/>
            </w:tcMar>
            <w:vAlign w:val="center"/>
          </w:tcPr>
          <w:p>
            <w:r>
              <w:rPr>
                <w:rFonts w:ascii="Calibri" w:hAnsi="Calibri"/>
                <w:b w:val="0"/>
                <w:i w:val="0"/>
                <w:color w:val="17212B"/>
                <w:sz w:val="16"/>
              </w:rPr>
              <w:t>Question, scope, keywords, unresolved evidence gaps</w:t>
            </w:r>
          </w:p>
        </w:tc>
        <w:tc>
          <w:tcPr>
            <w:tcW w:type="dxa" w:w="1872"/>
            <w:tcMar>
              <w:top w:w="80" w:type="dxa"/>
              <w:start w:w="85" w:type="dxa"/>
              <w:bottom w:w="80" w:type="dxa"/>
              <w:end w:w="85" w:type="dxa"/>
            </w:tcMar>
            <w:vAlign w:val="center"/>
          </w:tcPr>
          <w:p>
            <w:r>
              <w:rPr>
                <w:rFonts w:ascii="Calibri" w:hAnsi="Calibri"/>
                <w:b w:val="0"/>
                <w:i w:val="0"/>
                <w:color w:val="17212B"/>
                <w:sz w:val="16"/>
              </w:rPr>
              <w:t>Articles, reports, facts, citations, source quality</w:t>
            </w:r>
          </w:p>
        </w:tc>
        <w:tc>
          <w:tcPr>
            <w:tcW w:type="dxa" w:w="1872"/>
            <w:tcMar>
              <w:top w:w="80" w:type="dxa"/>
              <w:start w:w="85" w:type="dxa"/>
              <w:bottom w:w="80" w:type="dxa"/>
              <w:end w:w="85" w:type="dxa"/>
            </w:tcMar>
            <w:vAlign w:val="center"/>
          </w:tcPr>
          <w:p>
            <w:r>
              <w:rPr>
                <w:rFonts w:ascii="Calibri" w:hAnsi="Calibri"/>
                <w:b w:val="0"/>
                <w:i w:val="0"/>
                <w:color w:val="17212B"/>
                <w:sz w:val="16"/>
              </w:rPr>
              <w:t>New task; missing evidence; claim needing verification</w:t>
            </w:r>
          </w:p>
        </w:tc>
        <w:tc>
          <w:tcPr>
            <w:tcW w:type="dxa" w:w="1872"/>
            <w:tcMar>
              <w:top w:w="80" w:type="dxa"/>
              <w:start w:w="85" w:type="dxa"/>
              <w:bottom w:w="80" w:type="dxa"/>
              <w:end w:w="85" w:type="dxa"/>
            </w:tcMar>
            <w:vAlign w:val="center"/>
          </w:tcPr>
          <w:p>
            <w:r>
              <w:rPr>
                <w:rFonts w:ascii="Calibri" w:hAnsi="Calibri"/>
                <w:b w:val="0"/>
                <w:i w:val="0"/>
                <w:color w:val="17212B"/>
                <w:sz w:val="16"/>
              </w:rPr>
              <w:t>Source found; weak source; conflicting external evidence</w:t>
            </w:r>
          </w:p>
        </w:tc>
      </w:tr>
      <w:tr>
        <w:tc>
          <w:tcPr>
            <w:tcW w:type="dxa" w:w="1872"/>
            <w:shd w:fill="EAF2FC"/>
            <w:tcMar>
              <w:top w:w="80" w:type="dxa"/>
              <w:start w:w="85" w:type="dxa"/>
              <w:bottom w:w="80" w:type="dxa"/>
              <w:end w:w="85" w:type="dxa"/>
            </w:tcMar>
            <w:vAlign w:val="center"/>
          </w:tcPr>
          <w:p>
            <w:r>
              <w:rPr>
                <w:rFonts w:ascii="Calibri" w:hAnsi="Calibri"/>
                <w:b/>
                <w:i w:val="0"/>
                <w:color w:val="173B67"/>
                <w:sz w:val="16"/>
              </w:rPr>
              <w:t>Data Analysis</w:t>
            </w:r>
          </w:p>
        </w:tc>
        <w:tc>
          <w:tcPr>
            <w:tcW w:type="dxa" w:w="1872"/>
            <w:tcMar>
              <w:top w:w="80" w:type="dxa"/>
              <w:start w:w="85" w:type="dxa"/>
              <w:bottom w:w="80" w:type="dxa"/>
              <w:end w:w="85" w:type="dxa"/>
            </w:tcMar>
            <w:vAlign w:val="center"/>
          </w:tcPr>
          <w:p>
            <w:r>
              <w:rPr>
                <w:rFonts w:ascii="Calibri" w:hAnsi="Calibri"/>
                <w:b w:val="0"/>
                <w:i w:val="0"/>
                <w:color w:val="17212B"/>
                <w:sz w:val="16"/>
              </w:rPr>
              <w:t>Datasets, definitions, web findings, metrics to test</w:t>
            </w:r>
          </w:p>
        </w:tc>
        <w:tc>
          <w:tcPr>
            <w:tcW w:type="dxa" w:w="1872"/>
            <w:tcMar>
              <w:top w:w="80" w:type="dxa"/>
              <w:start w:w="85" w:type="dxa"/>
              <w:bottom w:w="80" w:type="dxa"/>
              <w:end w:w="85" w:type="dxa"/>
            </w:tcMar>
            <w:vAlign w:val="center"/>
          </w:tcPr>
          <w:p>
            <w:r>
              <w:rPr>
                <w:rFonts w:ascii="Calibri" w:hAnsi="Calibri"/>
                <w:b w:val="0"/>
                <w:i w:val="0"/>
                <w:color w:val="17212B"/>
                <w:sz w:val="16"/>
              </w:rPr>
              <w:t>Calculations, comparisons, charts, anomalies, confidence</w:t>
            </w:r>
          </w:p>
        </w:tc>
        <w:tc>
          <w:tcPr>
            <w:tcW w:type="dxa" w:w="1872"/>
            <w:tcMar>
              <w:top w:w="80" w:type="dxa"/>
              <w:start w:w="85" w:type="dxa"/>
              <w:bottom w:w="80" w:type="dxa"/>
              <w:end w:w="85" w:type="dxa"/>
            </w:tcMar>
            <w:vAlign w:val="center"/>
          </w:tcPr>
          <w:p>
            <w:r>
              <w:rPr>
                <w:rFonts w:ascii="Calibri" w:hAnsi="Calibri"/>
                <w:b w:val="0"/>
                <w:i w:val="0"/>
                <w:color w:val="17212B"/>
                <w:sz w:val="16"/>
              </w:rPr>
              <w:t>New dataset; quantitative claim; regional or temporal gap</w:t>
            </w:r>
          </w:p>
        </w:tc>
        <w:tc>
          <w:tcPr>
            <w:tcW w:type="dxa" w:w="1872"/>
            <w:tcMar>
              <w:top w:w="80" w:type="dxa"/>
              <w:start w:w="85" w:type="dxa"/>
              <w:bottom w:w="80" w:type="dxa"/>
              <w:end w:w="85" w:type="dxa"/>
            </w:tcMar>
            <w:vAlign w:val="center"/>
          </w:tcPr>
          <w:p>
            <w:r>
              <w:rPr>
                <w:rFonts w:ascii="Calibri" w:hAnsi="Calibri"/>
                <w:b w:val="0"/>
                <w:i w:val="0"/>
                <w:color w:val="17212B"/>
                <w:sz w:val="16"/>
              </w:rPr>
              <w:t>Statistical pattern; outlier; insufficient data</w:t>
            </w:r>
          </w:p>
        </w:tc>
      </w:tr>
      <w:tr>
        <w:tc>
          <w:tcPr>
            <w:tcW w:type="dxa" w:w="1872"/>
            <w:shd w:fill="EAF2FC"/>
            <w:tcMar>
              <w:top w:w="80" w:type="dxa"/>
              <w:start w:w="85" w:type="dxa"/>
              <w:bottom w:w="80" w:type="dxa"/>
              <w:end w:w="85" w:type="dxa"/>
            </w:tcMar>
            <w:vAlign w:val="center"/>
          </w:tcPr>
          <w:p>
            <w:r>
              <w:rPr>
                <w:rFonts w:ascii="Calibri" w:hAnsi="Calibri"/>
                <w:b/>
                <w:i w:val="0"/>
                <w:color w:val="173B67"/>
                <w:sz w:val="16"/>
              </w:rPr>
              <w:t>Trend Analysis</w:t>
            </w:r>
          </w:p>
        </w:tc>
        <w:tc>
          <w:tcPr>
            <w:tcW w:type="dxa" w:w="1872"/>
            <w:tcMar>
              <w:top w:w="80" w:type="dxa"/>
              <w:start w:w="85" w:type="dxa"/>
              <w:bottom w:w="80" w:type="dxa"/>
              <w:end w:w="85" w:type="dxa"/>
            </w:tcMar>
            <w:vAlign w:val="center"/>
          </w:tcPr>
          <w:p>
            <w:r>
              <w:rPr>
                <w:rFonts w:ascii="Calibri" w:hAnsi="Calibri"/>
                <w:b w:val="0"/>
                <w:i w:val="0"/>
                <w:color w:val="17212B"/>
                <w:sz w:val="16"/>
              </w:rPr>
              <w:t>Research evidence, data results, time horizon</w:t>
            </w:r>
          </w:p>
        </w:tc>
        <w:tc>
          <w:tcPr>
            <w:tcW w:type="dxa" w:w="1872"/>
            <w:tcMar>
              <w:top w:w="80" w:type="dxa"/>
              <w:start w:w="85" w:type="dxa"/>
              <w:bottom w:w="80" w:type="dxa"/>
              <w:end w:w="85" w:type="dxa"/>
            </w:tcMar>
            <w:vAlign w:val="center"/>
          </w:tcPr>
          <w:p>
            <w:r>
              <w:rPr>
                <w:rFonts w:ascii="Calibri" w:hAnsi="Calibri"/>
                <w:b w:val="0"/>
                <w:i w:val="0"/>
                <w:color w:val="17212B"/>
                <w:sz w:val="16"/>
              </w:rPr>
              <w:t>Drivers, trajectories, scenarios, projections, uncertainty</w:t>
            </w:r>
          </w:p>
        </w:tc>
        <w:tc>
          <w:tcPr>
            <w:tcW w:type="dxa" w:w="1872"/>
            <w:tcMar>
              <w:top w:w="80" w:type="dxa"/>
              <w:start w:w="85" w:type="dxa"/>
              <w:bottom w:w="80" w:type="dxa"/>
              <w:end w:w="85" w:type="dxa"/>
            </w:tcMar>
            <w:vAlign w:val="center"/>
          </w:tcPr>
          <w:p>
            <w:r>
              <w:rPr>
                <w:rFonts w:ascii="Calibri" w:hAnsi="Calibri"/>
                <w:b w:val="0"/>
                <w:i w:val="0"/>
                <w:color w:val="17212B"/>
                <w:sz w:val="16"/>
              </w:rPr>
              <w:t>Stable baseline evidence; material change signal</w:t>
            </w:r>
          </w:p>
        </w:tc>
        <w:tc>
          <w:tcPr>
            <w:tcW w:type="dxa" w:w="1872"/>
            <w:tcMar>
              <w:top w:w="80" w:type="dxa"/>
              <w:start w:w="85" w:type="dxa"/>
              <w:bottom w:w="80" w:type="dxa"/>
              <w:end w:w="85" w:type="dxa"/>
            </w:tcMar>
            <w:vAlign w:val="center"/>
          </w:tcPr>
          <w:p>
            <w:r>
              <w:rPr>
                <w:rFonts w:ascii="Calibri" w:hAnsi="Calibri"/>
                <w:b w:val="0"/>
                <w:i w:val="0"/>
                <w:color w:val="17212B"/>
                <w:sz w:val="16"/>
              </w:rPr>
              <w:t>Emerging trend; turning point; projection risk</w:t>
            </w:r>
          </w:p>
        </w:tc>
      </w:tr>
      <w:tr>
        <w:tc>
          <w:tcPr>
            <w:tcW w:type="dxa" w:w="1872"/>
            <w:shd w:fill="EAF2FC"/>
            <w:tcMar>
              <w:top w:w="80" w:type="dxa"/>
              <w:start w:w="85" w:type="dxa"/>
              <w:bottom w:w="80" w:type="dxa"/>
              <w:end w:w="85" w:type="dxa"/>
            </w:tcMar>
            <w:vAlign w:val="center"/>
          </w:tcPr>
          <w:p>
            <w:r>
              <w:rPr>
                <w:rFonts w:ascii="Calibri" w:hAnsi="Calibri"/>
                <w:b/>
                <w:i w:val="0"/>
                <w:color w:val="173B67"/>
                <w:sz w:val="16"/>
              </w:rPr>
              <w:t>Competitive Intelligence</w:t>
            </w:r>
          </w:p>
        </w:tc>
        <w:tc>
          <w:tcPr>
            <w:tcW w:type="dxa" w:w="1872"/>
            <w:tcMar>
              <w:top w:w="80" w:type="dxa"/>
              <w:start w:w="85" w:type="dxa"/>
              <w:bottom w:w="80" w:type="dxa"/>
              <w:end w:w="85" w:type="dxa"/>
            </w:tcMar>
            <w:vAlign w:val="center"/>
          </w:tcPr>
          <w:p>
            <w:r>
              <w:rPr>
                <w:rFonts w:ascii="Calibri" w:hAnsi="Calibri"/>
                <w:b w:val="0"/>
                <w:i w:val="0"/>
                <w:color w:val="17212B"/>
                <w:sz w:val="16"/>
              </w:rPr>
              <w:t>Market trends, company evidence, market metrics</w:t>
            </w:r>
          </w:p>
        </w:tc>
        <w:tc>
          <w:tcPr>
            <w:tcW w:type="dxa" w:w="1872"/>
            <w:tcMar>
              <w:top w:w="80" w:type="dxa"/>
              <w:start w:w="85" w:type="dxa"/>
              <w:bottom w:w="80" w:type="dxa"/>
              <w:end w:w="85" w:type="dxa"/>
            </w:tcMar>
            <w:vAlign w:val="center"/>
          </w:tcPr>
          <w:p>
            <w:r>
              <w:rPr>
                <w:rFonts w:ascii="Calibri" w:hAnsi="Calibri"/>
                <w:b w:val="0"/>
                <w:i w:val="0"/>
                <w:color w:val="17212B"/>
                <w:sz w:val="16"/>
              </w:rPr>
              <w:t>Competitor moves, positioning, capability gaps, implications</w:t>
            </w:r>
          </w:p>
        </w:tc>
        <w:tc>
          <w:tcPr>
            <w:tcW w:type="dxa" w:w="1872"/>
            <w:tcMar>
              <w:top w:w="80" w:type="dxa"/>
              <w:start w:w="85" w:type="dxa"/>
              <w:bottom w:w="80" w:type="dxa"/>
              <w:end w:w="85" w:type="dxa"/>
            </w:tcMar>
            <w:vAlign w:val="center"/>
          </w:tcPr>
          <w:p>
            <w:r>
              <w:rPr>
                <w:rFonts w:ascii="Calibri" w:hAnsi="Calibri"/>
                <w:b w:val="0"/>
                <w:i w:val="0"/>
                <w:color w:val="17212B"/>
                <w:sz w:val="16"/>
              </w:rPr>
              <w:t>Competitor event; trend with strategic impact</w:t>
            </w:r>
          </w:p>
        </w:tc>
        <w:tc>
          <w:tcPr>
            <w:tcW w:type="dxa" w:w="1872"/>
            <w:tcMar>
              <w:top w:w="80" w:type="dxa"/>
              <w:start w:w="85" w:type="dxa"/>
              <w:bottom w:w="80" w:type="dxa"/>
              <w:end w:w="85" w:type="dxa"/>
            </w:tcMar>
            <w:vAlign w:val="center"/>
          </w:tcPr>
          <w:p>
            <w:r>
              <w:rPr>
                <w:rFonts w:ascii="Calibri" w:hAnsi="Calibri"/>
                <w:b w:val="0"/>
                <w:i w:val="0"/>
                <w:color w:val="17212B"/>
                <w:sz w:val="16"/>
              </w:rPr>
              <w:t>Strategic shift; market response; competitor contradiction</w:t>
            </w:r>
          </w:p>
        </w:tc>
      </w:tr>
      <w:tr>
        <w:tc>
          <w:tcPr>
            <w:tcW w:type="dxa" w:w="1872"/>
            <w:shd w:fill="EAF2FC"/>
            <w:tcMar>
              <w:top w:w="80" w:type="dxa"/>
              <w:start w:w="85" w:type="dxa"/>
              <w:bottom w:w="80" w:type="dxa"/>
              <w:end w:w="85" w:type="dxa"/>
            </w:tcMar>
            <w:vAlign w:val="center"/>
          </w:tcPr>
          <w:p>
            <w:r>
              <w:rPr>
                <w:rFonts w:ascii="Calibri" w:hAnsi="Calibri"/>
                <w:b/>
                <w:i w:val="0"/>
                <w:color w:val="173B67"/>
                <w:sz w:val="16"/>
              </w:rPr>
              <w:t>Synthesis</w:t>
            </w:r>
          </w:p>
        </w:tc>
        <w:tc>
          <w:tcPr>
            <w:tcW w:type="dxa" w:w="1872"/>
            <w:tcMar>
              <w:top w:w="80" w:type="dxa"/>
              <w:start w:w="85" w:type="dxa"/>
              <w:bottom w:w="80" w:type="dxa"/>
              <w:end w:w="85" w:type="dxa"/>
            </w:tcMar>
            <w:vAlign w:val="center"/>
          </w:tcPr>
          <w:p>
            <w:r>
              <w:rPr>
                <w:rFonts w:ascii="Calibri" w:hAnsi="Calibri"/>
                <w:b w:val="0"/>
                <w:i w:val="0"/>
                <w:color w:val="17212B"/>
                <w:sz w:val="16"/>
              </w:rPr>
              <w:t>Validated findings, cross-agent insights, open issues, threads</w:t>
            </w:r>
          </w:p>
        </w:tc>
        <w:tc>
          <w:tcPr>
            <w:tcW w:type="dxa" w:w="1872"/>
            <w:tcMar>
              <w:top w:w="80" w:type="dxa"/>
              <w:start w:w="85" w:type="dxa"/>
              <w:bottom w:w="80" w:type="dxa"/>
              <w:end w:w="85" w:type="dxa"/>
            </w:tcMar>
            <w:vAlign w:val="center"/>
          </w:tcPr>
          <w:p>
            <w:r>
              <w:rPr>
                <w:rFonts w:ascii="Calibri" w:hAnsi="Calibri"/>
                <w:b w:val="0"/>
                <w:i w:val="0"/>
                <w:color w:val="17212B"/>
                <w:sz w:val="16"/>
              </w:rPr>
              <w:t>Integrated narrative, implications, recommendations, report</w:t>
            </w:r>
          </w:p>
        </w:tc>
        <w:tc>
          <w:tcPr>
            <w:tcW w:type="dxa" w:w="1872"/>
            <w:tcMar>
              <w:top w:w="80" w:type="dxa"/>
              <w:start w:w="85" w:type="dxa"/>
              <w:bottom w:w="80" w:type="dxa"/>
              <w:end w:w="85" w:type="dxa"/>
            </w:tcMar>
            <w:vAlign w:val="center"/>
          </w:tcPr>
          <w:p>
            <w:r>
              <w:rPr>
                <w:rFonts w:ascii="Calibri" w:hAnsi="Calibri"/>
                <w:b w:val="0"/>
                <w:i w:val="0"/>
                <w:color w:val="17212B"/>
                <w:sz w:val="16"/>
              </w:rPr>
              <w:t>Coverage threshold met; major contradictions resolved</w:t>
            </w:r>
          </w:p>
        </w:tc>
        <w:tc>
          <w:tcPr>
            <w:tcW w:type="dxa" w:w="1872"/>
            <w:tcMar>
              <w:top w:w="80" w:type="dxa"/>
              <w:start w:w="85" w:type="dxa"/>
              <w:bottom w:w="80" w:type="dxa"/>
              <w:end w:w="85" w:type="dxa"/>
            </w:tcMar>
            <w:vAlign w:val="center"/>
          </w:tcPr>
          <w:p>
            <w:r>
              <w:rPr>
                <w:rFonts w:ascii="Calibri" w:hAnsi="Calibri"/>
                <w:b w:val="0"/>
                <w:i w:val="0"/>
                <w:color w:val="17212B"/>
                <w:sz w:val="16"/>
              </w:rPr>
              <w:t>Draft ready; evidence gap; final review required</w:t>
            </w:r>
          </w:p>
        </w:tc>
      </w:tr>
    </w:tbl>
    <w:p>
      <w:pPr>
        <w:pStyle w:val="Heading2"/>
        <w:keepNext/>
      </w:pPr>
      <w:r>
        <w:t>Coordination Pattern</w:t>
      </w:r>
    </w:p>
    <w:p>
      <w:pPr>
        <w:pStyle w:val="ListBullet"/>
      </w:pPr>
      <w:r>
        <w:rPr>
          <w:rFonts w:ascii="Calibri" w:hAnsi="Calibri"/>
          <w:b w:val="0"/>
          <w:i w:val="0"/>
          <w:color w:val="17212B"/>
          <w:sz w:val="22"/>
        </w:rPr>
        <w:t>The coordinator creates tasks with explicit inputs, expected outputs, and dependencies.</w:t>
      </w:r>
    </w:p>
    <w:p>
      <w:pPr>
        <w:pStyle w:val="ListBullet"/>
      </w:pPr>
      <w:r>
        <w:rPr>
          <w:rFonts w:ascii="Calibri" w:hAnsi="Calibri"/>
          <w:b w:val="0"/>
          <w:i w:val="0"/>
          <w:color w:val="17212B"/>
          <w:sz w:val="22"/>
        </w:rPr>
        <w:t>Agents publish structured contributions to the shared state rather than sending informal messages.</w:t>
      </w:r>
    </w:p>
    <w:p>
      <w:pPr>
        <w:pStyle w:val="ListBullet"/>
      </w:pPr>
      <w:r>
        <w:rPr>
          <w:rFonts w:ascii="Calibri" w:hAnsi="Calibri"/>
          <w:b w:val="0"/>
          <w:i w:val="0"/>
          <w:color w:val="17212B"/>
          <w:sz w:val="22"/>
        </w:rPr>
        <w:t>Important findings generate events that can activate another specialist.</w:t>
      </w:r>
    </w:p>
    <w:p>
      <w:pPr>
        <w:pStyle w:val="ListBullet"/>
      </w:pPr>
      <w:r>
        <w:rPr>
          <w:rFonts w:ascii="Calibri" w:hAnsi="Calibri"/>
          <w:b w:val="0"/>
          <w:i w:val="0"/>
          <w:color w:val="17212B"/>
          <w:sz w:val="22"/>
        </w:rPr>
        <w:t>The coordinator tracks open questions, coverage, confidence, and contradictions.</w:t>
      </w:r>
    </w:p>
    <w:p>
      <w:pPr>
        <w:pStyle w:val="ListBullet"/>
      </w:pPr>
      <w:r>
        <w:rPr>
          <w:rFonts w:ascii="Calibri" w:hAnsi="Calibri"/>
          <w:b w:val="0"/>
          <w:i w:val="0"/>
          <w:color w:val="17212B"/>
          <w:sz w:val="22"/>
        </w:rPr>
        <w:t>The synthesis agent remains downstream of evidence maturity, not simply elapsed time.</w:t>
      </w:r>
    </w:p>
    <w:p>
      <w:r>
        <w:br w:type="page"/>
      </w:r>
    </w:p>
    <w:p>
      <w:pPr>
        <w:pStyle w:val="Heading1"/>
        <w:keepNext/>
      </w:pPr>
      <w:r>
        <w:t>4. Dynamic Workflow Logic</w:t>
      </w:r>
    </w:p>
    <w:p>
      <w:pPr/>
      <w:r>
        <w:rPr>
          <w:rFonts w:ascii="Calibri" w:hAnsi="Calibri"/>
          <w:b w:val="0"/>
          <w:i w:val="0"/>
          <w:color w:val="17212B"/>
          <w:sz w:val="22"/>
        </w:rPr>
        <w:t>The system first classifies the research request, then chooses an execution pattern. A narrow request can use a targeted path; independent evidence gathering can run in parallel; dependent reasoning is sequenced so later agents inherit validated context.</w:t>
      </w:r>
    </w:p>
    <w:p>
      <w:pPr>
        <w:spacing w:before="80" w:after="80"/>
        <w:jc w:val="center"/>
      </w:pPr>
      <w:r>
        <w:drawing>
          <wp:inline xmlns:a="http://schemas.openxmlformats.org/drawingml/2006/main" xmlns:pic="http://schemas.openxmlformats.org/drawingml/2006/picture">
            <wp:extent cx="5897880" cy="4128516"/>
            <wp:docPr id="3" name="Picture 3"/>
            <wp:cNvGraphicFramePr>
              <a:graphicFrameLocks noChangeAspect="1"/>
            </wp:cNvGraphicFramePr>
            <a:graphic>
              <a:graphicData uri="http://schemas.openxmlformats.org/drawingml/2006/picture">
                <pic:pic>
                  <pic:nvPicPr>
                    <pic:cNvPr id="0" name="dynamic_workflow.png"/>
                    <pic:cNvPicPr/>
                  </pic:nvPicPr>
                  <pic:blipFill>
                    <a:blip r:embed="rId13"/>
                    <a:stretch>
                      <a:fillRect/>
                    </a:stretch>
                  </pic:blipFill>
                  <pic:spPr>
                    <a:xfrm>
                      <a:off x="0" y="0"/>
                      <a:ext cx="5897880" cy="4128516"/>
                    </a:xfrm>
                    <a:prstGeom prst="rect"/>
                  </pic:spPr>
                </pic:pic>
              </a:graphicData>
            </a:graphic>
          </wp:inline>
        </w:drawing>
      </w:r>
    </w:p>
    <w:p>
      <w:pPr>
        <w:spacing w:after="200"/>
        <w:jc w:val="center"/>
      </w:pPr>
      <w:r>
        <w:rPr>
          <w:rFonts w:ascii="Calibri" w:hAnsi="Calibri"/>
          <w:b w:val="0"/>
          <w:i/>
          <w:color w:val="536273"/>
          <w:sz w:val="18"/>
        </w:rPr>
        <w:t>Figure 3. The coordinator selects parallel, sequential, or targeted collaboration and converges at a synthesis gate.</w:t>
      </w:r>
    </w:p>
    <w:p>
      <w:pPr>
        <w:pStyle w:val="Heading2"/>
        <w:keepNext/>
      </w:pPr>
      <w:r>
        <w:t>Agent Activation Framework</w:t>
      </w:r>
    </w:p>
    <w:tbl>
      <w:tblPr>
        <w:tblW w:type="auto" w:w="0"/>
        <w:jc w:val="center"/>
        <w:tblLayout w:type="fixed"/>
        <w:tblLook w:firstColumn="1" w:firstRow="1" w:lastColumn="0" w:lastRow="0" w:noHBand="0" w:noVBand="1" w:val="04A0"/>
      </w:tblPr>
      <w:tblGrid>
        <w:gridCol w:w="3120"/>
        <w:gridCol w:w="3120"/>
        <w:gridCol w:w="3120"/>
      </w:tblGrid>
      <w:tr>
        <w:tc>
          <w:tcPr>
            <w:tcW w:type="dxa" w:w="2880"/>
            <w:shd w:fill="173B67"/>
          </w:tcPr>
          <w:p>
            <w:r>
              <w:rPr>
                <w:rFonts w:ascii="Calibri" w:hAnsi="Calibri"/>
                <w:b/>
                <w:i w:val="0"/>
                <w:color w:val="FFFFFF"/>
                <w:sz w:val="18"/>
              </w:rPr>
              <w:t>Question Type</w:t>
            </w:r>
          </w:p>
        </w:tc>
        <w:tc>
          <w:tcPr>
            <w:tcW w:type="dxa" w:w="3024"/>
            <w:shd w:fill="173B67"/>
          </w:tcPr>
          <w:p>
            <w:r>
              <w:rPr>
                <w:rFonts w:ascii="Calibri" w:hAnsi="Calibri"/>
                <w:b/>
                <w:i w:val="0"/>
                <w:color w:val="FFFFFF"/>
                <w:sz w:val="18"/>
              </w:rPr>
              <w:t>Initial Activation</w:t>
            </w:r>
          </w:p>
        </w:tc>
        <w:tc>
          <w:tcPr>
            <w:tcW w:type="dxa" w:w="3456"/>
            <w:shd w:fill="173B67"/>
          </w:tcPr>
          <w:p>
            <w:r>
              <w:rPr>
                <w:rFonts w:ascii="Calibri" w:hAnsi="Calibri"/>
                <w:b/>
                <w:i w:val="0"/>
                <w:color w:val="FFFFFF"/>
                <w:sz w:val="18"/>
              </w:rPr>
              <w:t>Dependency Logic</w:t>
            </w:r>
          </w:p>
        </w:tc>
      </w:tr>
      <w:tr>
        <w:tc>
          <w:tcPr>
            <w:tcW w:type="dxa" w:w="3120"/>
            <w:tcMar>
              <w:top w:w="100" w:type="dxa"/>
              <w:start w:w="120" w:type="dxa"/>
              <w:bottom w:w="100" w:type="dxa"/>
              <w:end w:w="120" w:type="dxa"/>
            </w:tcMar>
          </w:tcPr>
          <w:p>
            <w:r>
              <w:rPr>
                <w:rFonts w:ascii="Calibri" w:hAnsi="Calibri"/>
                <w:b/>
                <w:i w:val="0"/>
                <w:color w:val="173B67"/>
                <w:sz w:val="17"/>
              </w:rPr>
              <w:t>Factual or source-led question</w:t>
            </w:r>
          </w:p>
        </w:tc>
        <w:tc>
          <w:tcPr>
            <w:tcW w:type="dxa" w:w="3120"/>
            <w:tcMar>
              <w:top w:w="100" w:type="dxa"/>
              <w:start w:w="120" w:type="dxa"/>
              <w:bottom w:w="100" w:type="dxa"/>
              <w:end w:w="120" w:type="dxa"/>
            </w:tcMar>
          </w:tcPr>
          <w:p>
            <w:r>
              <w:rPr>
                <w:rFonts w:ascii="Calibri" w:hAnsi="Calibri"/>
                <w:b w:val="0"/>
                <w:i w:val="0"/>
                <w:color w:val="17212B"/>
                <w:sz w:val="17"/>
              </w:rPr>
              <w:t>Web Research</w:t>
            </w:r>
          </w:p>
        </w:tc>
        <w:tc>
          <w:tcPr>
            <w:tcW w:type="dxa" w:w="3120"/>
            <w:tcMar>
              <w:top w:w="100" w:type="dxa"/>
              <w:start w:w="120" w:type="dxa"/>
              <w:bottom w:w="100" w:type="dxa"/>
              <w:end w:w="120" w:type="dxa"/>
            </w:tcMar>
          </w:tcPr>
          <w:p>
            <w:r>
              <w:rPr>
                <w:rFonts w:ascii="Calibri" w:hAnsi="Calibri"/>
                <w:b w:val="0"/>
                <w:i w:val="0"/>
                <w:color w:val="17212B"/>
                <w:sz w:val="17"/>
              </w:rPr>
              <w:t>Data Analysis if quantitative validation is required</w:t>
            </w:r>
          </w:p>
        </w:tc>
      </w:tr>
      <w:tr>
        <w:tc>
          <w:tcPr>
            <w:tcW w:type="dxa" w:w="3120"/>
            <w:tcMar>
              <w:top w:w="100" w:type="dxa"/>
              <w:start w:w="120" w:type="dxa"/>
              <w:bottom w:w="100" w:type="dxa"/>
              <w:end w:w="120" w:type="dxa"/>
            </w:tcMar>
          </w:tcPr>
          <w:p>
            <w:r>
              <w:rPr>
                <w:rFonts w:ascii="Calibri" w:hAnsi="Calibri"/>
                <w:b/>
                <w:i w:val="0"/>
                <w:color w:val="173B67"/>
                <w:sz w:val="17"/>
              </w:rPr>
              <w:t>Market size or performance question</w:t>
            </w:r>
          </w:p>
        </w:tc>
        <w:tc>
          <w:tcPr>
            <w:tcW w:type="dxa" w:w="3120"/>
            <w:tcMar>
              <w:top w:w="100" w:type="dxa"/>
              <w:start w:w="120" w:type="dxa"/>
              <w:bottom w:w="100" w:type="dxa"/>
              <w:end w:w="120" w:type="dxa"/>
            </w:tcMar>
          </w:tcPr>
          <w:p>
            <w:r>
              <w:rPr>
                <w:rFonts w:ascii="Calibri" w:hAnsi="Calibri"/>
                <w:b w:val="0"/>
                <w:i w:val="0"/>
                <w:color w:val="17212B"/>
                <w:sz w:val="17"/>
              </w:rPr>
              <w:t>Web Research + Data Analysis in parallel</w:t>
            </w:r>
          </w:p>
        </w:tc>
        <w:tc>
          <w:tcPr>
            <w:tcW w:type="dxa" w:w="3120"/>
            <w:tcMar>
              <w:top w:w="100" w:type="dxa"/>
              <w:start w:w="120" w:type="dxa"/>
              <w:bottom w:w="100" w:type="dxa"/>
              <w:end w:w="120" w:type="dxa"/>
            </w:tcMar>
          </w:tcPr>
          <w:p>
            <w:r>
              <w:rPr>
                <w:rFonts w:ascii="Calibri" w:hAnsi="Calibri"/>
                <w:b w:val="0"/>
                <w:i w:val="0"/>
                <w:color w:val="17212B"/>
                <w:sz w:val="17"/>
              </w:rPr>
              <w:t>Trend Analysis after baseline validation</w:t>
            </w:r>
          </w:p>
        </w:tc>
      </w:tr>
      <w:tr>
        <w:tc>
          <w:tcPr>
            <w:tcW w:type="dxa" w:w="3120"/>
            <w:tcMar>
              <w:top w:w="100" w:type="dxa"/>
              <w:start w:w="120" w:type="dxa"/>
              <w:bottom w:w="100" w:type="dxa"/>
              <w:end w:w="120" w:type="dxa"/>
            </w:tcMar>
          </w:tcPr>
          <w:p>
            <w:r>
              <w:rPr>
                <w:rFonts w:ascii="Calibri" w:hAnsi="Calibri"/>
                <w:b/>
                <w:i w:val="0"/>
                <w:color w:val="173B67"/>
                <w:sz w:val="17"/>
              </w:rPr>
              <w:t>Future outlook question</w:t>
            </w:r>
          </w:p>
        </w:tc>
        <w:tc>
          <w:tcPr>
            <w:tcW w:type="dxa" w:w="3120"/>
            <w:tcMar>
              <w:top w:w="100" w:type="dxa"/>
              <w:start w:w="120" w:type="dxa"/>
              <w:bottom w:w="100" w:type="dxa"/>
              <w:end w:w="120" w:type="dxa"/>
            </w:tcMar>
          </w:tcPr>
          <w:p>
            <w:r>
              <w:rPr>
                <w:rFonts w:ascii="Calibri" w:hAnsi="Calibri"/>
                <w:b w:val="0"/>
                <w:i w:val="0"/>
                <w:color w:val="17212B"/>
                <w:sz w:val="17"/>
              </w:rPr>
              <w:t>Web Research + Data Analysis</w:t>
            </w:r>
          </w:p>
        </w:tc>
        <w:tc>
          <w:tcPr>
            <w:tcW w:type="dxa" w:w="3120"/>
            <w:tcMar>
              <w:top w:w="100" w:type="dxa"/>
              <w:start w:w="120" w:type="dxa"/>
              <w:bottom w:w="100" w:type="dxa"/>
              <w:end w:w="120" w:type="dxa"/>
            </w:tcMar>
          </w:tcPr>
          <w:p>
            <w:r>
              <w:rPr>
                <w:rFonts w:ascii="Calibri" w:hAnsi="Calibri"/>
                <w:b w:val="0"/>
                <w:i w:val="0"/>
                <w:color w:val="17212B"/>
                <w:sz w:val="17"/>
              </w:rPr>
              <w:t>Trend Analysis, then Competitive Intelligence</w:t>
            </w:r>
          </w:p>
        </w:tc>
      </w:tr>
      <w:tr>
        <w:tc>
          <w:tcPr>
            <w:tcW w:type="dxa" w:w="3120"/>
            <w:tcMar>
              <w:top w:w="100" w:type="dxa"/>
              <w:start w:w="120" w:type="dxa"/>
              <w:bottom w:w="100" w:type="dxa"/>
              <w:end w:w="120" w:type="dxa"/>
            </w:tcMar>
          </w:tcPr>
          <w:p>
            <w:r>
              <w:rPr>
                <w:rFonts w:ascii="Calibri" w:hAnsi="Calibri"/>
                <w:b/>
                <w:i w:val="0"/>
                <w:color w:val="173B67"/>
                <w:sz w:val="17"/>
              </w:rPr>
              <w:t>Competitor strategy question</w:t>
            </w:r>
          </w:p>
        </w:tc>
        <w:tc>
          <w:tcPr>
            <w:tcW w:type="dxa" w:w="3120"/>
            <w:tcMar>
              <w:top w:w="100" w:type="dxa"/>
              <w:start w:w="120" w:type="dxa"/>
              <w:bottom w:w="100" w:type="dxa"/>
              <w:end w:w="120" w:type="dxa"/>
            </w:tcMar>
          </w:tcPr>
          <w:p>
            <w:r>
              <w:rPr>
                <w:rFonts w:ascii="Calibri" w:hAnsi="Calibri"/>
                <w:b w:val="0"/>
                <w:i w:val="0"/>
                <w:color w:val="17212B"/>
                <w:sz w:val="17"/>
              </w:rPr>
              <w:t>Web Research + Competitive Intelligence</w:t>
            </w:r>
          </w:p>
        </w:tc>
        <w:tc>
          <w:tcPr>
            <w:tcW w:type="dxa" w:w="3120"/>
            <w:tcMar>
              <w:top w:w="100" w:type="dxa"/>
              <w:start w:w="120" w:type="dxa"/>
              <w:bottom w:w="100" w:type="dxa"/>
              <w:end w:w="120" w:type="dxa"/>
            </w:tcMar>
          </w:tcPr>
          <w:p>
            <w:r>
              <w:rPr>
                <w:rFonts w:ascii="Calibri" w:hAnsi="Calibri"/>
                <w:b w:val="0"/>
                <w:i w:val="0"/>
                <w:color w:val="17212B"/>
                <w:sz w:val="17"/>
              </w:rPr>
              <w:t>Data and Trend agents when market context is needed</w:t>
            </w:r>
          </w:p>
        </w:tc>
      </w:tr>
      <w:tr>
        <w:tc>
          <w:tcPr>
            <w:tcW w:type="dxa" w:w="3120"/>
            <w:tcMar>
              <w:top w:w="100" w:type="dxa"/>
              <w:start w:w="120" w:type="dxa"/>
              <w:bottom w:w="100" w:type="dxa"/>
              <w:end w:w="120" w:type="dxa"/>
            </w:tcMar>
          </w:tcPr>
          <w:p>
            <w:r>
              <w:rPr>
                <w:rFonts w:ascii="Calibri" w:hAnsi="Calibri"/>
                <w:b/>
                <w:i w:val="0"/>
                <w:color w:val="173B67"/>
                <w:sz w:val="17"/>
              </w:rPr>
              <w:t>Comprehensive market report</w:t>
            </w:r>
          </w:p>
        </w:tc>
        <w:tc>
          <w:tcPr>
            <w:tcW w:type="dxa" w:w="3120"/>
            <w:tcMar>
              <w:top w:w="100" w:type="dxa"/>
              <w:start w:w="120" w:type="dxa"/>
              <w:bottom w:w="100" w:type="dxa"/>
              <w:end w:w="120" w:type="dxa"/>
            </w:tcMar>
          </w:tcPr>
          <w:p>
            <w:r>
              <w:rPr>
                <w:rFonts w:ascii="Calibri" w:hAnsi="Calibri"/>
                <w:b w:val="0"/>
                <w:i w:val="0"/>
                <w:color w:val="17212B"/>
                <w:sz w:val="17"/>
              </w:rPr>
              <w:t>All evidence agents</w:t>
            </w:r>
          </w:p>
        </w:tc>
        <w:tc>
          <w:tcPr>
            <w:tcW w:type="dxa" w:w="3120"/>
            <w:tcMar>
              <w:top w:w="100" w:type="dxa"/>
              <w:start w:w="120" w:type="dxa"/>
              <w:bottom w:w="100" w:type="dxa"/>
              <w:end w:w="120" w:type="dxa"/>
            </w:tcMar>
          </w:tcPr>
          <w:p>
            <w:r>
              <w:rPr>
                <w:rFonts w:ascii="Calibri" w:hAnsi="Calibri"/>
                <w:b w:val="0"/>
                <w:i w:val="0"/>
                <w:color w:val="17212B"/>
                <w:sz w:val="17"/>
              </w:rPr>
              <w:t>Trend and Competitive agents build on research/data; Synthesis runs last</w:t>
            </w:r>
          </w:p>
        </w:tc>
      </w:tr>
    </w:tbl>
    <w:p>
      <w:pPr>
        <w:pStyle w:val="Heading2"/>
        <w:keepNext/>
      </w:pPr>
      <w:r>
        <w:t>Parallel vs. Sequential Decision</w:t>
      </w:r>
    </w:p>
    <w:p>
      <w:pPr>
        <w:pStyle w:val="ListBullet"/>
      </w:pPr>
      <w:r>
        <w:rPr>
          <w:rFonts w:ascii="Calibri" w:hAnsi="Calibri"/>
          <w:b w:val="0"/>
          <w:i w:val="0"/>
          <w:color w:val="17212B"/>
          <w:sz w:val="22"/>
        </w:rPr>
        <w:t>Run in parallel when agents can collect independent evidence from the same stable research context.</w:t>
      </w:r>
    </w:p>
    <w:p>
      <w:pPr>
        <w:pStyle w:val="ListBullet"/>
      </w:pPr>
      <w:r>
        <w:rPr>
          <w:rFonts w:ascii="Calibri" w:hAnsi="Calibri"/>
          <w:b w:val="0"/>
          <w:i w:val="0"/>
          <w:color w:val="17212B"/>
          <w:sz w:val="22"/>
        </w:rPr>
        <w:t>Run sequentially when an agent's task definition depends on another agent's result.</w:t>
      </w:r>
    </w:p>
    <w:p>
      <w:pPr>
        <w:pStyle w:val="ListBullet"/>
      </w:pPr>
      <w:r>
        <w:rPr>
          <w:rFonts w:ascii="Calibri" w:hAnsi="Calibri"/>
          <w:b w:val="0"/>
          <w:i w:val="0"/>
          <w:color w:val="17212B"/>
          <w:sz w:val="22"/>
        </w:rPr>
        <w:t>Use a hybrid workflow when broad evidence collection is parallel but interpretation requires ordered handoffs.</w:t>
      </w:r>
    </w:p>
    <w:p>
      <w:pPr>
        <w:pStyle w:val="ListBullet"/>
      </w:pPr>
      <w:r>
        <w:rPr>
          <w:rFonts w:ascii="Calibri" w:hAnsi="Calibri"/>
          <w:b w:val="0"/>
          <w:i w:val="0"/>
          <w:color w:val="17212B"/>
          <w:sz w:val="22"/>
        </w:rPr>
        <w:t>Pause or backtrack when a critical input is absent, confidence is low, or findings materially conflict.</w:t>
      </w:r>
    </w:p>
    <w:p>
      <w:pPr>
        <w:pStyle w:val="Heading2"/>
        <w:keepNext/>
      </w:pPr>
      <w:r>
        <w:t>Synthesis Readiness Conditions</w:t>
      </w:r>
    </w:p>
    <w:tbl>
      <w:tblPr>
        <w:tblW w:type="auto" w:w="0"/>
        <w:jc w:val="center"/>
        <w:tblLayout w:type="fixed"/>
        <w:tblLook w:firstColumn="1" w:firstRow="1" w:lastColumn="0" w:lastRow="0" w:noHBand="0" w:noVBand="1" w:val="04A0"/>
      </w:tblPr>
      <w:tblGrid>
        <w:gridCol w:w="9360"/>
      </w:tblGrid>
      <w:tr>
        <w:tc>
          <w:tcPr>
            <w:tcW w:type="dxa" w:w="9360"/>
            <w:shd w:fill="EAF5F0"/>
            <w:tcMar>
              <w:top w:w="150" w:type="dxa"/>
              <w:start w:w="180" w:type="dxa"/>
              <w:bottom w:w="150" w:type="dxa"/>
              <w:end w:w="180" w:type="dxa"/>
            </w:tcMar>
          </w:tcPr>
          <w:p>
            <w:pPr>
              <w:spacing w:after="60"/>
            </w:pPr>
            <w:r>
              <w:rPr>
                <w:rFonts w:ascii="Calibri" w:hAnsi="Calibri"/>
                <w:b/>
                <w:i w:val="0"/>
                <w:color w:val="287A5B"/>
                <w:sz w:val="22"/>
              </w:rPr>
              <w:t xml:space="preserve">Readiness gate  </w:t>
            </w:r>
            <w:r>
              <w:rPr>
                <w:rFonts w:ascii="Calibri" w:hAnsi="Calibri"/>
                <w:b w:val="0"/>
                <w:i w:val="0"/>
                <w:color w:val="17212B"/>
                <w:sz w:val="22"/>
              </w:rPr>
              <w:t>Begin synthesis when required domains are covered, major claims have evidence, confidence is acceptable, critical contradictions are resolved or disclosed, and no blocking research task remains.</w:t>
            </w:r>
          </w:p>
        </w:tc>
      </w:tr>
    </w:tbl>
    <w:p>
      <w:pPr>
        <w:spacing w:after="0"/>
      </w:pPr>
    </w:p>
    <w:p>
      <w:pPr>
        <w:pStyle w:val="Heading1"/>
        <w:keepNext/>
      </w:pPr>
      <w:r>
        <w:t>5. Investigation, Backtracking, and Quality Control</w:t>
      </w:r>
    </w:p>
    <w:p>
      <w:pPr/>
      <w:r>
        <w:rPr>
          <w:rFonts w:ascii="Calibri" w:hAnsi="Calibri"/>
          <w:b w:val="0"/>
          <w:i w:val="0"/>
          <w:color w:val="17212B"/>
          <w:sz w:val="22"/>
        </w:rPr>
        <w:t>Collaboration is not complete after the first pass. Agents may discover evidence gaps or contradictions that require additional work. The coordinator turns these discoveries into explicit follow-up tasks and preserves both the original finding and the resolution.</w:t>
      </w:r>
    </w:p>
    <w:tbl>
      <w:tblPr>
        <w:tblW w:type="auto" w:w="0"/>
        <w:jc w:val="center"/>
        <w:tblLayout w:type="fixed"/>
        <w:tblLook w:firstColumn="1" w:firstRow="1" w:lastColumn="0" w:lastRow="0" w:noHBand="0" w:noVBand="1" w:val="04A0"/>
      </w:tblPr>
      <w:tblGrid>
        <w:gridCol w:w="3120"/>
        <w:gridCol w:w="3120"/>
        <w:gridCol w:w="3120"/>
      </w:tblGrid>
      <w:tr>
        <w:tc>
          <w:tcPr>
            <w:tcW w:type="dxa" w:w="2376"/>
            <w:shd w:fill="173B67"/>
          </w:tcPr>
          <w:p>
            <w:r>
              <w:rPr>
                <w:rFonts w:ascii="Calibri" w:hAnsi="Calibri"/>
                <w:b/>
                <w:i w:val="0"/>
                <w:color w:val="FFFFFF"/>
                <w:sz w:val="18"/>
              </w:rPr>
              <w:t>Condition</w:t>
            </w:r>
          </w:p>
        </w:tc>
        <w:tc>
          <w:tcPr>
            <w:tcW w:type="dxa" w:w="3384"/>
            <w:shd w:fill="173B67"/>
          </w:tcPr>
          <w:p>
            <w:r>
              <w:rPr>
                <w:rFonts w:ascii="Calibri" w:hAnsi="Calibri"/>
                <w:b/>
                <w:i w:val="0"/>
                <w:color w:val="FFFFFF"/>
                <w:sz w:val="18"/>
              </w:rPr>
              <w:t>Detection</w:t>
            </w:r>
          </w:p>
        </w:tc>
        <w:tc>
          <w:tcPr>
            <w:tcW w:type="dxa" w:w="3600"/>
            <w:shd w:fill="173B67"/>
          </w:tcPr>
          <w:p>
            <w:r>
              <w:rPr>
                <w:rFonts w:ascii="Calibri" w:hAnsi="Calibri"/>
                <w:b/>
                <w:i w:val="0"/>
                <w:color w:val="FFFFFF"/>
                <w:sz w:val="18"/>
              </w:rPr>
              <w:t>Backtracking Action</w:t>
            </w:r>
          </w:p>
        </w:tc>
      </w:tr>
      <w:tr>
        <w:tc>
          <w:tcPr>
            <w:tcW w:type="dxa" w:w="3120"/>
            <w:tcMar>
              <w:top w:w="100" w:type="dxa"/>
              <w:start w:w="120" w:type="dxa"/>
              <w:bottom w:w="100" w:type="dxa"/>
              <w:end w:w="120" w:type="dxa"/>
            </w:tcMar>
          </w:tcPr>
          <w:p>
            <w:r>
              <w:rPr>
                <w:rFonts w:ascii="Calibri" w:hAnsi="Calibri"/>
                <w:b/>
                <w:i w:val="0"/>
                <w:color w:val="B24A4A"/>
                <w:sz w:val="18"/>
              </w:rPr>
              <w:t>Missing evidence</w:t>
            </w:r>
          </w:p>
        </w:tc>
        <w:tc>
          <w:tcPr>
            <w:tcW w:type="dxa" w:w="3120"/>
            <w:tcMar>
              <w:top w:w="100" w:type="dxa"/>
              <w:start w:w="120" w:type="dxa"/>
              <w:bottom w:w="100" w:type="dxa"/>
              <w:end w:w="120" w:type="dxa"/>
            </w:tcMar>
          </w:tcPr>
          <w:p>
            <w:r>
              <w:rPr>
                <w:rFonts w:ascii="Calibri" w:hAnsi="Calibri"/>
                <w:b w:val="0"/>
                <w:i w:val="0"/>
                <w:color w:val="17212B"/>
                <w:sz w:val="18"/>
              </w:rPr>
              <w:t>A material claim has no reliable source</w:t>
            </w:r>
          </w:p>
        </w:tc>
        <w:tc>
          <w:tcPr>
            <w:tcW w:type="dxa" w:w="3120"/>
            <w:tcMar>
              <w:top w:w="100" w:type="dxa"/>
              <w:start w:w="120" w:type="dxa"/>
              <w:bottom w:w="100" w:type="dxa"/>
              <w:end w:w="120" w:type="dxa"/>
            </w:tcMar>
          </w:tcPr>
          <w:p>
            <w:r>
              <w:rPr>
                <w:rFonts w:ascii="Calibri" w:hAnsi="Calibri"/>
                <w:b w:val="0"/>
                <w:i w:val="0"/>
                <w:color w:val="17212B"/>
                <w:sz w:val="18"/>
              </w:rPr>
              <w:t>Web Research receives a targeted verification task</w:t>
            </w:r>
          </w:p>
        </w:tc>
      </w:tr>
      <w:tr>
        <w:tc>
          <w:tcPr>
            <w:tcW w:type="dxa" w:w="3120"/>
            <w:tcMar>
              <w:top w:w="100" w:type="dxa"/>
              <w:start w:w="120" w:type="dxa"/>
              <w:bottom w:w="100" w:type="dxa"/>
              <w:end w:w="120" w:type="dxa"/>
            </w:tcMar>
          </w:tcPr>
          <w:p>
            <w:r>
              <w:rPr>
                <w:rFonts w:ascii="Calibri" w:hAnsi="Calibri"/>
                <w:b/>
                <w:i w:val="0"/>
                <w:color w:val="B24A4A"/>
                <w:sz w:val="18"/>
              </w:rPr>
              <w:t>Quantitative inconsistency</w:t>
            </w:r>
          </w:p>
        </w:tc>
        <w:tc>
          <w:tcPr>
            <w:tcW w:type="dxa" w:w="3120"/>
            <w:tcMar>
              <w:top w:w="100" w:type="dxa"/>
              <w:start w:w="120" w:type="dxa"/>
              <w:bottom w:w="100" w:type="dxa"/>
              <w:end w:w="120" w:type="dxa"/>
            </w:tcMar>
          </w:tcPr>
          <w:p>
            <w:r>
              <w:rPr>
                <w:rFonts w:ascii="Calibri" w:hAnsi="Calibri"/>
                <w:b w:val="0"/>
                <w:i w:val="0"/>
                <w:color w:val="17212B"/>
                <w:sz w:val="18"/>
              </w:rPr>
              <w:t>Reported figures disagree across sources</w:t>
            </w:r>
          </w:p>
        </w:tc>
        <w:tc>
          <w:tcPr>
            <w:tcW w:type="dxa" w:w="3120"/>
            <w:tcMar>
              <w:top w:w="100" w:type="dxa"/>
              <w:start w:w="120" w:type="dxa"/>
              <w:bottom w:w="100" w:type="dxa"/>
              <w:end w:w="120" w:type="dxa"/>
            </w:tcMar>
          </w:tcPr>
          <w:p>
            <w:r>
              <w:rPr>
                <w:rFonts w:ascii="Calibri" w:hAnsi="Calibri"/>
                <w:b w:val="0"/>
                <w:i w:val="0"/>
                <w:color w:val="17212B"/>
                <w:sz w:val="18"/>
              </w:rPr>
              <w:t>Data Analysis reconciles definitions, dates, and units</w:t>
            </w:r>
          </w:p>
        </w:tc>
      </w:tr>
      <w:tr>
        <w:tc>
          <w:tcPr>
            <w:tcW w:type="dxa" w:w="3120"/>
            <w:tcMar>
              <w:top w:w="100" w:type="dxa"/>
              <w:start w:w="120" w:type="dxa"/>
              <w:bottom w:w="100" w:type="dxa"/>
              <w:end w:w="120" w:type="dxa"/>
            </w:tcMar>
          </w:tcPr>
          <w:p>
            <w:r>
              <w:rPr>
                <w:rFonts w:ascii="Calibri" w:hAnsi="Calibri"/>
                <w:b/>
                <w:i w:val="0"/>
                <w:color w:val="B24A4A"/>
                <w:sz w:val="18"/>
              </w:rPr>
              <w:t>Low-confidence projection</w:t>
            </w:r>
          </w:p>
        </w:tc>
        <w:tc>
          <w:tcPr>
            <w:tcW w:type="dxa" w:w="3120"/>
            <w:tcMar>
              <w:top w:w="100" w:type="dxa"/>
              <w:start w:w="120" w:type="dxa"/>
              <w:bottom w:w="100" w:type="dxa"/>
              <w:end w:w="120" w:type="dxa"/>
            </w:tcMar>
          </w:tcPr>
          <w:p>
            <w:r>
              <w:rPr>
                <w:rFonts w:ascii="Calibri" w:hAnsi="Calibri"/>
                <w:b w:val="0"/>
                <w:i w:val="0"/>
                <w:color w:val="17212B"/>
                <w:sz w:val="18"/>
              </w:rPr>
              <w:t>Trend conclusion depends on weak assumptions</w:t>
            </w:r>
          </w:p>
        </w:tc>
        <w:tc>
          <w:tcPr>
            <w:tcW w:type="dxa" w:w="3120"/>
            <w:tcMar>
              <w:top w:w="100" w:type="dxa"/>
              <w:start w:w="120" w:type="dxa"/>
              <w:bottom w:w="100" w:type="dxa"/>
              <w:end w:w="120" w:type="dxa"/>
            </w:tcMar>
          </w:tcPr>
          <w:p>
            <w:r>
              <w:rPr>
                <w:rFonts w:ascii="Calibri" w:hAnsi="Calibri"/>
                <w:b w:val="0"/>
                <w:i w:val="0"/>
                <w:color w:val="17212B"/>
                <w:sz w:val="18"/>
              </w:rPr>
              <w:t>Trend Analysis creates scenarios and records uncertainty</w:t>
            </w:r>
          </w:p>
        </w:tc>
      </w:tr>
      <w:tr>
        <w:tc>
          <w:tcPr>
            <w:tcW w:type="dxa" w:w="3120"/>
            <w:tcMar>
              <w:top w:w="100" w:type="dxa"/>
              <w:start w:w="120" w:type="dxa"/>
              <w:bottom w:w="100" w:type="dxa"/>
              <w:end w:w="120" w:type="dxa"/>
            </w:tcMar>
          </w:tcPr>
          <w:p>
            <w:r>
              <w:rPr>
                <w:rFonts w:ascii="Calibri" w:hAnsi="Calibri"/>
                <w:b/>
                <w:i w:val="0"/>
                <w:color w:val="B24A4A"/>
                <w:sz w:val="18"/>
              </w:rPr>
              <w:t>Competitive contradiction</w:t>
            </w:r>
          </w:p>
        </w:tc>
        <w:tc>
          <w:tcPr>
            <w:tcW w:type="dxa" w:w="3120"/>
            <w:tcMar>
              <w:top w:w="100" w:type="dxa"/>
              <w:start w:w="120" w:type="dxa"/>
              <w:bottom w:w="100" w:type="dxa"/>
              <w:end w:w="120" w:type="dxa"/>
            </w:tcMar>
          </w:tcPr>
          <w:p>
            <w:r>
              <w:rPr>
                <w:rFonts w:ascii="Calibri" w:hAnsi="Calibri"/>
                <w:b w:val="0"/>
                <w:i w:val="0"/>
                <w:color w:val="17212B"/>
                <w:sz w:val="18"/>
              </w:rPr>
              <w:t>Observed company action conflicts with stated strategy</w:t>
            </w:r>
          </w:p>
        </w:tc>
        <w:tc>
          <w:tcPr>
            <w:tcW w:type="dxa" w:w="3120"/>
            <w:tcMar>
              <w:top w:w="100" w:type="dxa"/>
              <w:start w:w="120" w:type="dxa"/>
              <w:bottom w:w="100" w:type="dxa"/>
              <w:end w:w="120" w:type="dxa"/>
            </w:tcMar>
          </w:tcPr>
          <w:p>
            <w:r>
              <w:rPr>
                <w:rFonts w:ascii="Calibri" w:hAnsi="Calibri"/>
                <w:b w:val="0"/>
                <w:i w:val="0"/>
                <w:color w:val="17212B"/>
                <w:sz w:val="18"/>
              </w:rPr>
              <w:t>Competitive Intelligence investigates behavior and timing</w:t>
            </w:r>
          </w:p>
        </w:tc>
      </w:tr>
      <w:tr>
        <w:tc>
          <w:tcPr>
            <w:tcW w:type="dxa" w:w="3120"/>
            <w:tcMar>
              <w:top w:w="100" w:type="dxa"/>
              <w:start w:w="120" w:type="dxa"/>
              <w:bottom w:w="100" w:type="dxa"/>
              <w:end w:w="120" w:type="dxa"/>
            </w:tcMar>
          </w:tcPr>
          <w:p>
            <w:r>
              <w:rPr>
                <w:rFonts w:ascii="Calibri" w:hAnsi="Calibri"/>
                <w:b/>
                <w:i w:val="0"/>
                <w:color w:val="B24A4A"/>
                <w:sz w:val="18"/>
              </w:rPr>
              <w:t>Narrative gap</w:t>
            </w:r>
          </w:p>
        </w:tc>
        <w:tc>
          <w:tcPr>
            <w:tcW w:type="dxa" w:w="3120"/>
            <w:tcMar>
              <w:top w:w="100" w:type="dxa"/>
              <w:start w:w="120" w:type="dxa"/>
              <w:bottom w:w="100" w:type="dxa"/>
              <w:end w:w="120" w:type="dxa"/>
            </w:tcMar>
          </w:tcPr>
          <w:p>
            <w:r>
              <w:rPr>
                <w:rFonts w:ascii="Calibri" w:hAnsi="Calibri"/>
                <w:b w:val="0"/>
                <w:i w:val="0"/>
                <w:color w:val="17212B"/>
                <w:sz w:val="18"/>
              </w:rPr>
              <w:t>A report thread lacks evidence or implication</w:t>
            </w:r>
          </w:p>
        </w:tc>
        <w:tc>
          <w:tcPr>
            <w:tcW w:type="dxa" w:w="3120"/>
            <w:tcMar>
              <w:top w:w="100" w:type="dxa"/>
              <w:start w:w="120" w:type="dxa"/>
              <w:bottom w:w="100" w:type="dxa"/>
              <w:end w:w="120" w:type="dxa"/>
            </w:tcMar>
          </w:tcPr>
          <w:p>
            <w:r>
              <w:rPr>
                <w:rFonts w:ascii="Calibri" w:hAnsi="Calibri"/>
                <w:b w:val="0"/>
                <w:i w:val="0"/>
                <w:color w:val="17212B"/>
                <w:sz w:val="18"/>
              </w:rPr>
              <w:t>Synthesis returns the thread to the relevant specialist</w:t>
            </w:r>
          </w:p>
        </w:tc>
      </w:tr>
    </w:tbl>
    <w:p>
      <w:pPr>
        <w:pStyle w:val="Heading2"/>
        <w:keepNext/>
      </w:pPr>
      <w:r>
        <w:t>Completion Controls</w:t>
      </w:r>
    </w:p>
    <w:p>
      <w:pPr>
        <w:pStyle w:val="ListBullet"/>
        <w:spacing w:after="40" w:line="240" w:lineRule="auto"/>
      </w:pPr>
      <w:r>
        <w:rPr>
          <w:rFonts w:ascii="Calibri" w:hAnsi="Calibri"/>
          <w:b w:val="0"/>
          <w:i w:val="0"/>
          <w:color w:val="17212B"/>
          <w:sz w:val="20"/>
        </w:rPr>
        <w:t>Coverage: every required report domain has at least one validated contribution.</w:t>
      </w:r>
    </w:p>
    <w:p>
      <w:pPr>
        <w:pStyle w:val="ListBullet"/>
        <w:spacing w:after="40" w:line="240" w:lineRule="auto"/>
      </w:pPr>
      <w:r>
        <w:rPr>
          <w:rFonts w:ascii="Calibri" w:hAnsi="Calibri"/>
          <w:b w:val="0"/>
          <w:i w:val="0"/>
          <w:color w:val="17212B"/>
          <w:sz w:val="20"/>
        </w:rPr>
        <w:t>Traceability: important claims link to sources and originating agent contributions.</w:t>
      </w:r>
    </w:p>
    <w:p>
      <w:pPr>
        <w:pStyle w:val="ListBullet"/>
        <w:spacing w:after="40" w:line="240" w:lineRule="auto"/>
      </w:pPr>
      <w:r>
        <w:rPr>
          <w:rFonts w:ascii="Calibri" w:hAnsi="Calibri"/>
          <w:b w:val="0"/>
          <w:i w:val="0"/>
          <w:color w:val="17212B"/>
          <w:sz w:val="20"/>
        </w:rPr>
        <w:t>Consistency: contradictions are resolved, bounded, or transparently reported.</w:t>
      </w:r>
    </w:p>
    <w:p>
      <w:pPr>
        <w:pStyle w:val="ListBullet"/>
        <w:spacing w:after="40" w:line="240" w:lineRule="auto"/>
      </w:pPr>
      <w:r>
        <w:rPr>
          <w:rFonts w:ascii="Calibri" w:hAnsi="Calibri"/>
          <w:b w:val="0"/>
          <w:i w:val="0"/>
          <w:color w:val="17212B"/>
          <w:sz w:val="20"/>
        </w:rPr>
        <w:t>Confidence: uncertainty is recorded and reflected in conclusions.</w:t>
      </w:r>
    </w:p>
    <w:p>
      <w:pPr>
        <w:pStyle w:val="ListBullet"/>
        <w:spacing w:after="40" w:line="240" w:lineRule="auto"/>
      </w:pPr>
      <w:r>
        <w:rPr>
          <w:rFonts w:ascii="Calibri" w:hAnsi="Calibri"/>
          <w:b w:val="0"/>
          <w:i w:val="0"/>
          <w:color w:val="17212B"/>
          <w:sz w:val="20"/>
        </w:rPr>
        <w:t>Coherence: synthesis threads connect evidence to implications rather than listing facts.</w:t>
      </w:r>
    </w:p>
    <w:p>
      <w:pPr>
        <w:pStyle w:val="Heading1"/>
        <w:keepNext/>
      </w:pPr>
      <w:r>
        <w:t>6. Worked Collaboration Example</w:t>
      </w:r>
    </w:p>
    <w:p>
      <w:pPr/>
      <w:r>
        <w:rPr>
          <w:rFonts w:ascii="Calibri" w:hAnsi="Calibri"/>
          <w:b w:val="0"/>
          <w:i w:val="0"/>
          <w:color w:val="17212B"/>
          <w:sz w:val="22"/>
        </w:rPr>
        <w:t>Consider the research question: “How will the electric vehicle market evolve over the next three years, and where should a charging-network provider invest?” The example below shows how an isolated observation becomes a stronger strategic insight through collaboration.</w:t>
      </w:r>
    </w:p>
    <w:p>
      <w:pPr>
        <w:spacing w:before="80" w:after="80"/>
        <w:jc w:val="center"/>
      </w:pPr>
      <w:r>
        <w:drawing>
          <wp:inline xmlns:a="http://schemas.openxmlformats.org/drawingml/2006/main" xmlns:pic="http://schemas.openxmlformats.org/drawingml/2006/picture">
            <wp:extent cx="5897880" cy="3870484"/>
            <wp:docPr id="4" name="Picture 4"/>
            <wp:cNvGraphicFramePr>
              <a:graphicFrameLocks noChangeAspect="1"/>
            </wp:cNvGraphicFramePr>
            <a:graphic>
              <a:graphicData uri="http://schemas.openxmlformats.org/drawingml/2006/picture">
                <pic:pic>
                  <pic:nvPicPr>
                    <pic:cNvPr id="0" name="interaction_example.png"/>
                    <pic:cNvPicPr/>
                  </pic:nvPicPr>
                  <pic:blipFill>
                    <a:blip r:embed="rId14"/>
                    <a:stretch>
                      <a:fillRect/>
                    </a:stretch>
                  </pic:blipFill>
                  <pic:spPr>
                    <a:xfrm>
                      <a:off x="0" y="0"/>
                      <a:ext cx="5897880" cy="3870484"/>
                    </a:xfrm>
                    <a:prstGeom prst="rect"/>
                  </pic:spPr>
                </pic:pic>
              </a:graphicData>
            </a:graphic>
          </wp:inline>
        </w:drawing>
      </w:r>
    </w:p>
    <w:p>
      <w:pPr>
        <w:spacing w:after="200"/>
        <w:jc w:val="center"/>
      </w:pPr>
      <w:r>
        <w:rPr>
          <w:rFonts w:ascii="Calibri" w:hAnsi="Calibri"/>
          <w:b w:val="0"/>
          <w:i/>
          <w:color w:val="536273"/>
          <w:sz w:val="18"/>
        </w:rPr>
        <w:t>Figure 4. Cross-agent reasoning converts separate findings into a defensible strategic conclusion.</w:t>
      </w:r>
    </w:p>
    <w:p>
      <w:pPr>
        <w:pStyle w:val="Heading2"/>
        <w:keepNext/>
      </w:pPr>
      <w:r>
        <w:t>Example Reasoning Trace</w:t>
      </w:r>
    </w:p>
    <w:p>
      <w:pPr>
        <w:pStyle w:val="ListNumber"/>
        <w:numPr>
          <w:ilvl w:val="0"/>
          <w:numId w:val="11"/>
        </w:numPr>
      </w:pPr>
      <w:r>
        <w:rPr>
          <w:rFonts w:ascii="Calibri" w:hAnsi="Calibri"/>
          <w:b w:val="0"/>
          <w:i w:val="0"/>
          <w:color w:val="17212B"/>
          <w:sz w:val="22"/>
        </w:rPr>
        <w:t>Web Research identifies new incentives and infrastructure policy.</w:t>
      </w:r>
    </w:p>
    <w:p>
      <w:pPr>
        <w:pStyle w:val="ListNumber"/>
        <w:numPr>
          <w:ilvl w:val="0"/>
          <w:numId w:val="11"/>
        </w:numPr>
      </w:pPr>
      <w:r>
        <w:rPr>
          <w:rFonts w:ascii="Calibri" w:hAnsi="Calibri"/>
          <w:b w:val="0"/>
          <w:i w:val="0"/>
          <w:color w:val="17212B"/>
          <w:sz w:val="22"/>
        </w:rPr>
        <w:t>Data Analysis finds that sales growth varies sharply across regions.</w:t>
      </w:r>
    </w:p>
    <w:p>
      <w:pPr>
        <w:pStyle w:val="ListNumber"/>
        <w:numPr>
          <w:ilvl w:val="0"/>
          <w:numId w:val="11"/>
        </w:numPr>
      </w:pPr>
      <w:r>
        <w:rPr>
          <w:rFonts w:ascii="Calibri" w:hAnsi="Calibri"/>
          <w:b w:val="0"/>
          <w:i w:val="0"/>
          <w:color w:val="17212B"/>
          <w:sz w:val="22"/>
        </w:rPr>
        <w:t>Trend Analysis proposes that adoption will accelerate but records infrastructure as a limiting assumption.</w:t>
      </w:r>
    </w:p>
    <w:p>
      <w:pPr>
        <w:pStyle w:val="ListNumber"/>
        <w:numPr>
          <w:ilvl w:val="0"/>
          <w:numId w:val="11"/>
        </w:numPr>
      </w:pPr>
      <w:r>
        <w:rPr>
          <w:rFonts w:ascii="Calibri" w:hAnsi="Calibri"/>
          <w:b w:val="0"/>
          <w:i w:val="0"/>
          <w:color w:val="17212B"/>
          <w:sz w:val="22"/>
        </w:rPr>
        <w:t>Competitive Intelligence observes competitors redirecting investment toward charging capacity.</w:t>
      </w:r>
    </w:p>
    <w:p>
      <w:pPr>
        <w:pStyle w:val="ListNumber"/>
        <w:numPr>
          <w:ilvl w:val="0"/>
          <w:numId w:val="11"/>
        </w:numPr>
      </w:pPr>
      <w:r>
        <w:rPr>
          <w:rFonts w:ascii="Calibri" w:hAnsi="Calibri"/>
          <w:b w:val="0"/>
          <w:i w:val="0"/>
          <w:color w:val="17212B"/>
          <w:sz w:val="22"/>
        </w:rPr>
        <w:t>The coordinator creates a targeted question linking charging coverage to regional sales performance.</w:t>
      </w:r>
    </w:p>
    <w:p>
      <w:pPr>
        <w:pStyle w:val="ListNumber"/>
        <w:numPr>
          <w:ilvl w:val="0"/>
          <w:numId w:val="11"/>
        </w:numPr>
      </w:pPr>
      <w:r>
        <w:rPr>
          <w:rFonts w:ascii="Calibri" w:hAnsi="Calibri"/>
          <w:b w:val="0"/>
          <w:i w:val="0"/>
          <w:color w:val="17212B"/>
          <w:sz w:val="22"/>
        </w:rPr>
        <w:t>The synthesis agent forms a report thread: infrastructure availability may be the strategic constraint that determines where demand converts into adoption.</w:t>
      </w:r>
    </w:p>
    <w:p>
      <w:pPr>
        <w:pStyle w:val="Heading2"/>
        <w:keepNext/>
      </w:pPr>
      <w:r>
        <w:t>Why This Is Collaborative Intelligence</w:t>
      </w:r>
    </w:p>
    <w:p>
      <w:pPr/>
      <w:r>
        <w:rPr>
          <w:rFonts w:ascii="Calibri" w:hAnsi="Calibri"/>
          <w:b w:val="0"/>
          <w:i w:val="0"/>
          <w:color w:val="17212B"/>
          <w:sz w:val="22"/>
        </w:rPr>
        <w:t>No single agent produced the final conclusion. Web evidence supplied policy context, quantitative analysis exposed regional variation, trend reasoning framed the future trajectory, and competitive analysis revealed how firms were responding. The shared state made these relationships visible, and the feedback loop prompted a new investigation. The final insight therefore emerged from connected reasoning rather than aggregation.</w:t>
      </w:r>
    </w:p>
    <w:p>
      <w:pPr>
        <w:pStyle w:val="Heading1"/>
        <w:keepNext/>
      </w:pPr>
      <w:r>
        <w:t>7. Report Assembly</w:t>
      </w:r>
    </w:p>
    <w:p>
      <w:pPr/>
      <w:r>
        <w:rPr>
          <w:rFonts w:ascii="Calibri" w:hAnsi="Calibri"/>
          <w:b w:val="0"/>
          <w:i w:val="0"/>
          <w:color w:val="17212B"/>
          <w:sz w:val="22"/>
        </w:rPr>
        <w:t>The synthesis agent assembles the final deliverable from validated synthesis threads. Each section should preserve the relationship between evidence, interpretation, business implication, and uncertainty.</w:t>
      </w:r>
    </w:p>
    <w:tbl>
      <w:tblPr>
        <w:tblW w:type="auto" w:w="0"/>
        <w:jc w:val="center"/>
        <w:tblLayout w:type="fixed"/>
        <w:tblLook w:firstColumn="1" w:firstRow="1" w:lastColumn="0" w:lastRow="0" w:noHBand="0" w:noVBand="1" w:val="04A0"/>
      </w:tblPr>
      <w:tblGrid>
        <w:gridCol w:w="4680"/>
        <w:gridCol w:w="4680"/>
      </w:tblGrid>
      <w:tr>
        <w:tc>
          <w:tcPr>
            <w:tcW w:type="dxa" w:w="2880"/>
            <w:shd w:fill="173B67"/>
          </w:tcPr>
          <w:p>
            <w:r>
              <w:rPr>
                <w:rFonts w:ascii="Calibri" w:hAnsi="Calibri"/>
                <w:b/>
                <w:i w:val="0"/>
                <w:color w:val="FFFFFF"/>
                <w:sz w:val="22"/>
              </w:rPr>
              <w:t>Report Section</w:t>
            </w:r>
          </w:p>
        </w:tc>
        <w:tc>
          <w:tcPr>
            <w:tcW w:type="dxa" w:w="6480"/>
            <w:shd w:fill="173B67"/>
          </w:tcPr>
          <w:p>
            <w:r>
              <w:rPr>
                <w:rFonts w:ascii="Calibri" w:hAnsi="Calibri"/>
                <w:b/>
                <w:i w:val="0"/>
                <w:color w:val="FFFFFF"/>
                <w:sz w:val="22"/>
              </w:rPr>
              <w:t>Content</w:t>
            </w:r>
          </w:p>
        </w:tc>
      </w:tr>
      <w:tr>
        <w:tc>
          <w:tcPr>
            <w:tcW w:type="dxa" w:w="4680"/>
            <w:tcMar>
              <w:top w:w="100" w:type="dxa"/>
              <w:start w:w="120" w:type="dxa"/>
              <w:bottom w:w="100" w:type="dxa"/>
              <w:end w:w="120" w:type="dxa"/>
            </w:tcMar>
          </w:tcPr>
          <w:p>
            <w:r>
              <w:rPr>
                <w:rFonts w:ascii="Calibri" w:hAnsi="Calibri"/>
                <w:b/>
                <w:i w:val="0"/>
                <w:color w:val="173B67"/>
                <w:sz w:val="22"/>
              </w:rPr>
              <w:t>Executive Summary</w:t>
            </w:r>
          </w:p>
        </w:tc>
        <w:tc>
          <w:tcPr>
            <w:tcW w:type="dxa" w:w="4680"/>
            <w:tcMar>
              <w:top w:w="100" w:type="dxa"/>
              <w:start w:w="120" w:type="dxa"/>
              <w:bottom w:w="100" w:type="dxa"/>
              <w:end w:w="120" w:type="dxa"/>
            </w:tcMar>
          </w:tcPr>
          <w:p>
            <w:r>
              <w:rPr>
                <w:rFonts w:ascii="Calibri" w:hAnsi="Calibri"/>
                <w:b w:val="0"/>
                <w:i w:val="0"/>
                <w:color w:val="17212B"/>
                <w:sz w:val="22"/>
              </w:rPr>
              <w:t>Most important conclusions, implications, and recommended actions</w:t>
            </w:r>
          </w:p>
        </w:tc>
      </w:tr>
      <w:tr>
        <w:tc>
          <w:tcPr>
            <w:tcW w:type="dxa" w:w="4680"/>
            <w:tcMar>
              <w:top w:w="100" w:type="dxa"/>
              <w:start w:w="120" w:type="dxa"/>
              <w:bottom w:w="100" w:type="dxa"/>
              <w:end w:w="120" w:type="dxa"/>
            </w:tcMar>
          </w:tcPr>
          <w:p>
            <w:r>
              <w:rPr>
                <w:rFonts w:ascii="Calibri" w:hAnsi="Calibri"/>
                <w:b/>
                <w:i w:val="0"/>
                <w:color w:val="173B67"/>
                <w:sz w:val="22"/>
              </w:rPr>
              <w:t>Market Overview</w:t>
            </w:r>
          </w:p>
        </w:tc>
        <w:tc>
          <w:tcPr>
            <w:tcW w:type="dxa" w:w="4680"/>
            <w:tcMar>
              <w:top w:w="100" w:type="dxa"/>
              <w:start w:w="120" w:type="dxa"/>
              <w:bottom w:w="100" w:type="dxa"/>
              <w:end w:w="120" w:type="dxa"/>
            </w:tcMar>
          </w:tcPr>
          <w:p>
            <w:r>
              <w:rPr>
                <w:rFonts w:ascii="Calibri" w:hAnsi="Calibri"/>
                <w:b w:val="0"/>
                <w:i w:val="0"/>
                <w:color w:val="17212B"/>
                <w:sz w:val="22"/>
              </w:rPr>
              <w:t>Scope, size, segments, definitions, and baseline conditions</w:t>
            </w:r>
          </w:p>
        </w:tc>
      </w:tr>
      <w:tr>
        <w:tc>
          <w:tcPr>
            <w:tcW w:type="dxa" w:w="4680"/>
            <w:tcMar>
              <w:top w:w="100" w:type="dxa"/>
              <w:start w:w="120" w:type="dxa"/>
              <w:bottom w:w="100" w:type="dxa"/>
              <w:end w:w="120" w:type="dxa"/>
            </w:tcMar>
          </w:tcPr>
          <w:p>
            <w:r>
              <w:rPr>
                <w:rFonts w:ascii="Calibri" w:hAnsi="Calibri"/>
                <w:b/>
                <w:i w:val="0"/>
                <w:color w:val="173B67"/>
                <w:sz w:val="22"/>
              </w:rPr>
              <w:t>Data Insights</w:t>
            </w:r>
          </w:p>
        </w:tc>
        <w:tc>
          <w:tcPr>
            <w:tcW w:type="dxa" w:w="4680"/>
            <w:tcMar>
              <w:top w:w="100" w:type="dxa"/>
              <w:start w:w="120" w:type="dxa"/>
              <w:bottom w:w="100" w:type="dxa"/>
              <w:end w:w="120" w:type="dxa"/>
            </w:tcMar>
          </w:tcPr>
          <w:p>
            <w:r>
              <w:rPr>
                <w:rFonts w:ascii="Calibri" w:hAnsi="Calibri"/>
                <w:b w:val="0"/>
                <w:i w:val="0"/>
                <w:color w:val="17212B"/>
                <w:sz w:val="22"/>
              </w:rPr>
              <w:t>Quantitative findings, comparisons, anomalies, and limitations</w:t>
            </w:r>
          </w:p>
        </w:tc>
      </w:tr>
      <w:tr>
        <w:tc>
          <w:tcPr>
            <w:tcW w:type="dxa" w:w="4680"/>
            <w:tcMar>
              <w:top w:w="100" w:type="dxa"/>
              <w:start w:w="120" w:type="dxa"/>
              <w:bottom w:w="100" w:type="dxa"/>
              <w:end w:w="120" w:type="dxa"/>
            </w:tcMar>
          </w:tcPr>
          <w:p>
            <w:r>
              <w:rPr>
                <w:rFonts w:ascii="Calibri" w:hAnsi="Calibri"/>
                <w:b/>
                <w:i w:val="0"/>
                <w:color w:val="173B67"/>
                <w:sz w:val="22"/>
              </w:rPr>
              <w:t>Trends and Projections</w:t>
            </w:r>
          </w:p>
        </w:tc>
        <w:tc>
          <w:tcPr>
            <w:tcW w:type="dxa" w:w="4680"/>
            <w:tcMar>
              <w:top w:w="100" w:type="dxa"/>
              <w:start w:w="120" w:type="dxa"/>
              <w:bottom w:w="100" w:type="dxa"/>
              <w:end w:w="120" w:type="dxa"/>
            </w:tcMar>
          </w:tcPr>
          <w:p>
            <w:r>
              <w:rPr>
                <w:rFonts w:ascii="Calibri" w:hAnsi="Calibri"/>
                <w:b w:val="0"/>
                <w:i w:val="0"/>
                <w:color w:val="17212B"/>
                <w:sz w:val="22"/>
              </w:rPr>
              <w:t>Drivers, scenarios, time horizon, and uncertainty</w:t>
            </w:r>
          </w:p>
        </w:tc>
      </w:tr>
      <w:tr>
        <w:tc>
          <w:tcPr>
            <w:tcW w:type="dxa" w:w="4680"/>
            <w:tcMar>
              <w:top w:w="100" w:type="dxa"/>
              <w:start w:w="120" w:type="dxa"/>
              <w:bottom w:w="100" w:type="dxa"/>
              <w:end w:w="120" w:type="dxa"/>
            </w:tcMar>
          </w:tcPr>
          <w:p>
            <w:r>
              <w:rPr>
                <w:rFonts w:ascii="Calibri" w:hAnsi="Calibri"/>
                <w:b/>
                <w:i w:val="0"/>
                <w:color w:val="173B67"/>
                <w:sz w:val="22"/>
              </w:rPr>
              <w:t>Competitive Landscape</w:t>
            </w:r>
          </w:p>
        </w:tc>
        <w:tc>
          <w:tcPr>
            <w:tcW w:type="dxa" w:w="4680"/>
            <w:tcMar>
              <w:top w:w="100" w:type="dxa"/>
              <w:start w:w="120" w:type="dxa"/>
              <w:bottom w:w="100" w:type="dxa"/>
              <w:end w:w="120" w:type="dxa"/>
            </w:tcMar>
          </w:tcPr>
          <w:p>
            <w:r>
              <w:rPr>
                <w:rFonts w:ascii="Calibri" w:hAnsi="Calibri"/>
                <w:b w:val="0"/>
                <w:i w:val="0"/>
                <w:color w:val="17212B"/>
                <w:sz w:val="22"/>
              </w:rPr>
              <w:t>Competitor moves, positioning, responses, and strategic gaps</w:t>
            </w:r>
          </w:p>
        </w:tc>
      </w:tr>
      <w:tr>
        <w:tc>
          <w:tcPr>
            <w:tcW w:type="dxa" w:w="4680"/>
            <w:tcMar>
              <w:top w:w="100" w:type="dxa"/>
              <w:start w:w="120" w:type="dxa"/>
              <w:bottom w:w="100" w:type="dxa"/>
              <w:end w:w="120" w:type="dxa"/>
            </w:tcMar>
          </w:tcPr>
          <w:p>
            <w:r>
              <w:rPr>
                <w:rFonts w:ascii="Calibri" w:hAnsi="Calibri"/>
                <w:b/>
                <w:i w:val="0"/>
                <w:color w:val="173B67"/>
                <w:sz w:val="22"/>
              </w:rPr>
              <w:t>Integrated Implications</w:t>
            </w:r>
          </w:p>
        </w:tc>
        <w:tc>
          <w:tcPr>
            <w:tcW w:type="dxa" w:w="4680"/>
            <w:tcMar>
              <w:top w:w="100" w:type="dxa"/>
              <w:start w:w="120" w:type="dxa"/>
              <w:bottom w:w="100" w:type="dxa"/>
              <w:end w:w="120" w:type="dxa"/>
            </w:tcMar>
          </w:tcPr>
          <w:p>
            <w:r>
              <w:rPr>
                <w:rFonts w:ascii="Calibri" w:hAnsi="Calibri"/>
                <w:b w:val="0"/>
                <w:i w:val="0"/>
                <w:color w:val="17212B"/>
                <w:sz w:val="22"/>
              </w:rPr>
              <w:t>Cross-agent synthesis threads connecting market evidence to decisions</w:t>
            </w:r>
          </w:p>
        </w:tc>
      </w:tr>
      <w:tr>
        <w:tc>
          <w:tcPr>
            <w:tcW w:type="dxa" w:w="4680"/>
            <w:tcMar>
              <w:top w:w="100" w:type="dxa"/>
              <w:start w:w="120" w:type="dxa"/>
              <w:bottom w:w="100" w:type="dxa"/>
              <w:end w:w="120" w:type="dxa"/>
            </w:tcMar>
          </w:tcPr>
          <w:p>
            <w:r>
              <w:rPr>
                <w:rFonts w:ascii="Calibri" w:hAnsi="Calibri"/>
                <w:b/>
                <w:i w:val="0"/>
                <w:color w:val="173B67"/>
                <w:sz w:val="22"/>
              </w:rPr>
              <w:t>Conclusion</w:t>
            </w:r>
          </w:p>
        </w:tc>
        <w:tc>
          <w:tcPr>
            <w:tcW w:type="dxa" w:w="4680"/>
            <w:tcMar>
              <w:top w:w="100" w:type="dxa"/>
              <w:start w:w="120" w:type="dxa"/>
              <w:bottom w:w="100" w:type="dxa"/>
              <w:end w:w="120" w:type="dxa"/>
            </w:tcMar>
          </w:tcPr>
          <w:p>
            <w:r>
              <w:rPr>
                <w:rFonts w:ascii="Calibri" w:hAnsi="Calibri"/>
                <w:b w:val="0"/>
                <w:i w:val="0"/>
                <w:color w:val="17212B"/>
                <w:sz w:val="22"/>
              </w:rPr>
              <w:t>Priorities, risks, open questions, and next research steps</w:t>
            </w:r>
          </w:p>
        </w:tc>
      </w:tr>
    </w:tbl>
    <w:p>
      <w:pPr>
        <w:pStyle w:val="Heading1"/>
        <w:keepNext/>
      </w:pPr>
      <w:r>
        <w:t>8. Collaboration Rationale</w:t>
      </w:r>
    </w:p>
    <w:p>
      <w:pPr/>
      <w:r>
        <w:rPr>
          <w:rFonts w:ascii="Calibri" w:hAnsi="Calibri"/>
          <w:b w:val="0"/>
          <w:i w:val="0"/>
          <w:color w:val="17212B"/>
          <w:sz w:val="22"/>
        </w:rPr>
        <w:t>The proposed design satisfies the assignment's requirement for true collaborative intelligence in four ways.</w:t>
      </w:r>
    </w:p>
    <w:p>
      <w:pPr/>
      <w:r>
        <w:rPr>
          <w:rFonts w:ascii="Calibri" w:hAnsi="Calibri"/>
          <w:b/>
          <w:i w:val="0"/>
          <w:color w:val="17212B"/>
          <w:sz w:val="22"/>
        </w:rPr>
        <w:t>Shared context creates alignment.</w:t>
      </w:r>
      <w:r>
        <w:rPr>
          <w:rFonts w:ascii="Calibri" w:hAnsi="Calibri"/>
          <w:b w:val="0"/>
          <w:i w:val="0"/>
          <w:color w:val="17212B"/>
          <w:sz w:val="22"/>
        </w:rPr>
        <w:t xml:space="preserve"> All agents interpret the same objective, scope, definitions, and constraints.</w:t>
      </w:r>
    </w:p>
    <w:p>
      <w:pPr/>
      <w:r>
        <w:rPr>
          <w:rFonts w:ascii="Calibri" w:hAnsi="Calibri"/>
          <w:b/>
          <w:i w:val="0"/>
          <w:color w:val="17212B"/>
          <w:sz w:val="22"/>
        </w:rPr>
        <w:t>Structured contributions create traceability.</w:t>
      </w:r>
      <w:r>
        <w:rPr>
          <w:rFonts w:ascii="Calibri" w:hAnsi="Calibri"/>
          <w:b w:val="0"/>
          <w:i w:val="0"/>
          <w:color w:val="17212B"/>
          <w:sz w:val="22"/>
        </w:rPr>
        <w:t xml:space="preserve"> Findings retain evidence, confidence, assumptions, and ownership.</w:t>
      </w:r>
    </w:p>
    <w:p>
      <w:pPr/>
      <w:r>
        <w:rPr>
          <w:rFonts w:ascii="Calibri" w:hAnsi="Calibri"/>
          <w:b/>
          <w:i w:val="0"/>
          <w:color w:val="17212B"/>
          <w:sz w:val="22"/>
        </w:rPr>
        <w:t>Cross-agent insights create new knowledge.</w:t>
      </w:r>
      <w:r>
        <w:rPr>
          <w:rFonts w:ascii="Calibri" w:hAnsi="Calibri"/>
          <w:b w:val="0"/>
          <w:i w:val="0"/>
          <w:color w:val="17212B"/>
          <w:sz w:val="22"/>
        </w:rPr>
        <w:t xml:space="preserve"> The system records relationships that are not present in any isolated contribution.</w:t>
      </w:r>
    </w:p>
    <w:p>
      <w:pPr/>
      <w:r>
        <w:rPr>
          <w:rFonts w:ascii="Calibri" w:hAnsi="Calibri"/>
          <w:b/>
          <w:i w:val="0"/>
          <w:color w:val="17212B"/>
          <w:sz w:val="22"/>
        </w:rPr>
        <w:t>Adaptive coordination improves relevance.</w:t>
      </w:r>
      <w:r>
        <w:rPr>
          <w:rFonts w:ascii="Calibri" w:hAnsi="Calibri"/>
          <w:b w:val="0"/>
          <w:i w:val="0"/>
          <w:color w:val="17212B"/>
          <w:sz w:val="22"/>
        </w:rPr>
        <w:t xml:space="preserve"> Agents are activated, sequenced, or re-engaged according to the question and emerging findings.</w:t>
      </w:r>
    </w:p>
    <w:tbl>
      <w:tblPr>
        <w:tblW w:type="auto" w:w="0"/>
        <w:jc w:val="center"/>
        <w:tblLayout w:type="fixed"/>
        <w:tblLook w:firstColumn="1" w:firstRow="1" w:lastColumn="0" w:lastRow="0" w:noHBand="0" w:noVBand="1" w:val="04A0"/>
      </w:tblPr>
      <w:tblGrid>
        <w:gridCol w:w="9360"/>
      </w:tblGrid>
      <w:tr>
        <w:tc>
          <w:tcPr>
            <w:tcW w:type="dxa" w:w="9360"/>
            <w:shd w:fill="EAF5F0"/>
            <w:tcMar>
              <w:top w:w="150" w:type="dxa"/>
              <w:start w:w="180" w:type="dxa"/>
              <w:bottom w:w="150" w:type="dxa"/>
              <w:end w:w="180" w:type="dxa"/>
            </w:tcMar>
          </w:tcPr>
          <w:p>
            <w:pPr>
              <w:spacing w:after="60"/>
            </w:pPr>
            <w:r>
              <w:rPr>
                <w:rFonts w:ascii="Calibri" w:hAnsi="Calibri"/>
                <w:b/>
                <w:i w:val="0"/>
                <w:color w:val="287A5B"/>
                <w:sz w:val="22"/>
              </w:rPr>
              <w:t xml:space="preserve">Final design outcome  </w:t>
            </w:r>
            <w:r>
              <w:rPr>
                <w:rFonts w:ascii="Calibri" w:hAnsi="Calibri"/>
                <w:b w:val="0"/>
                <w:i w:val="0"/>
                <w:color w:val="17212B"/>
                <w:sz w:val="22"/>
              </w:rPr>
              <w:t>The system produces a report whose conclusions are supported by connected evidence and collective reasoning, not a bundle of independent summaries.</w:t>
            </w:r>
          </w:p>
        </w:tc>
      </w:tr>
    </w:tbl>
    <w:p>
      <w:pPr>
        <w:spacing w:after="0"/>
      </w:pPr>
    </w:p>
    <w:p>
      <w:pPr>
        <w:pStyle w:val="Heading1"/>
        <w:keepNext/>
      </w:pPr>
      <w:r>
        <w:t>9. Completion Criteria Mapping</w:t>
      </w:r>
    </w:p>
    <w:tbl>
      <w:tblPr>
        <w:tblW w:type="auto" w:w="0"/>
        <w:jc w:val="center"/>
        <w:tblLayout w:type="fixed"/>
        <w:tblLook w:firstColumn="1" w:firstRow="1" w:lastColumn="0" w:lastRow="0" w:noHBand="0" w:noVBand="1" w:val="04A0"/>
      </w:tblPr>
      <w:tblGrid>
        <w:gridCol w:w="4680"/>
        <w:gridCol w:w="4680"/>
      </w:tblGrid>
      <w:tr>
        <w:tc>
          <w:tcPr>
            <w:tcW w:type="dxa" w:w="4320"/>
            <w:shd w:fill="173B67"/>
          </w:tcPr>
          <w:p>
            <w:r>
              <w:rPr>
                <w:rFonts w:ascii="Calibri" w:hAnsi="Calibri"/>
                <w:b/>
                <w:i w:val="0"/>
                <w:color w:val="FFFFFF"/>
                <w:sz w:val="22"/>
              </w:rPr>
              <w:t>Assignment Criterion</w:t>
            </w:r>
          </w:p>
        </w:tc>
        <w:tc>
          <w:tcPr>
            <w:tcW w:type="dxa" w:w="5040"/>
            <w:shd w:fill="173B67"/>
          </w:tcPr>
          <w:p>
            <w:r>
              <w:rPr>
                <w:rFonts w:ascii="Calibri" w:hAnsi="Calibri"/>
                <w:b/>
                <w:i w:val="0"/>
                <w:color w:val="FFFFFF"/>
                <w:sz w:val="22"/>
              </w:rPr>
              <w:t>Where Addressed</w:t>
            </w:r>
          </w:p>
        </w:tc>
      </w:tr>
      <w:tr>
        <w:tc>
          <w:tcPr>
            <w:tcW w:type="dxa" w:w="4680"/>
            <w:tcMar>
              <w:top w:w="100" w:type="dxa"/>
              <w:start w:w="120" w:type="dxa"/>
              <w:bottom w:w="100" w:type="dxa"/>
              <w:end w:w="120" w:type="dxa"/>
            </w:tcMar>
          </w:tcPr>
          <w:p>
            <w:r>
              <w:rPr>
                <w:rFonts w:ascii="Calibri" w:hAnsi="Calibri"/>
                <w:b/>
                <w:i w:val="0"/>
                <w:color w:val="173B67"/>
                <w:sz w:val="22"/>
              </w:rPr>
              <w:t>Collaborative state enables intelligence beyond data sharing</w:t>
            </w:r>
          </w:p>
        </w:tc>
        <w:tc>
          <w:tcPr>
            <w:tcW w:type="dxa" w:w="4680"/>
            <w:tcMar>
              <w:top w:w="100" w:type="dxa"/>
              <w:start w:w="120" w:type="dxa"/>
              <w:bottom w:w="100" w:type="dxa"/>
              <w:end w:w="120" w:type="dxa"/>
            </w:tcMar>
          </w:tcPr>
          <w:p>
            <w:r>
              <w:rPr>
                <w:rFonts w:ascii="Calibri" w:hAnsi="Calibri"/>
                <w:b w:val="0"/>
                <w:i w:val="0"/>
                <w:color w:val="17212B"/>
                <w:sz w:val="22"/>
              </w:rPr>
              <w:t>Five-layer state architecture with explicit reasoning and synthesis layers</w:t>
            </w:r>
          </w:p>
        </w:tc>
      </w:tr>
      <w:tr>
        <w:tc>
          <w:tcPr>
            <w:tcW w:type="dxa" w:w="4680"/>
            <w:tcMar>
              <w:top w:w="100" w:type="dxa"/>
              <w:start w:w="120" w:type="dxa"/>
              <w:bottom w:w="100" w:type="dxa"/>
              <w:end w:w="120" w:type="dxa"/>
            </w:tcMar>
          </w:tcPr>
          <w:p>
            <w:r>
              <w:rPr>
                <w:rFonts w:ascii="Calibri" w:hAnsi="Calibri"/>
                <w:b/>
                <w:i w:val="0"/>
                <w:color w:val="173B67"/>
                <w:sz w:val="22"/>
              </w:rPr>
              <w:t>Coordination patterns show agents building on each other</w:t>
            </w:r>
          </w:p>
        </w:tc>
        <w:tc>
          <w:tcPr>
            <w:tcW w:type="dxa" w:w="4680"/>
            <w:tcMar>
              <w:top w:w="100" w:type="dxa"/>
              <w:start w:w="120" w:type="dxa"/>
              <w:bottom w:w="100" w:type="dxa"/>
              <w:end w:w="120" w:type="dxa"/>
            </w:tcMar>
          </w:tcPr>
          <w:p>
            <w:r>
              <w:rPr>
                <w:rFonts w:ascii="Calibri" w:hAnsi="Calibri"/>
                <w:b w:val="0"/>
                <w:i w:val="0"/>
                <w:color w:val="17212B"/>
                <w:sz w:val="22"/>
              </w:rPr>
              <w:t>Coordination matrix, dependencies, triggers, and event signals</w:t>
            </w:r>
          </w:p>
        </w:tc>
      </w:tr>
      <w:tr>
        <w:tc>
          <w:tcPr>
            <w:tcW w:type="dxa" w:w="4680"/>
            <w:tcMar>
              <w:top w:w="100" w:type="dxa"/>
              <w:start w:w="120" w:type="dxa"/>
              <w:bottom w:w="100" w:type="dxa"/>
              <w:end w:w="120" w:type="dxa"/>
            </w:tcMar>
          </w:tcPr>
          <w:p>
            <w:r>
              <w:rPr>
                <w:rFonts w:ascii="Calibri" w:hAnsi="Calibri"/>
                <w:b/>
                <w:i w:val="0"/>
                <w:color w:val="173B67"/>
                <w:sz w:val="22"/>
              </w:rPr>
              <w:t>Workflow adapts to research complexity</w:t>
            </w:r>
          </w:p>
        </w:tc>
        <w:tc>
          <w:tcPr>
            <w:tcW w:type="dxa" w:w="4680"/>
            <w:tcMar>
              <w:top w:w="100" w:type="dxa"/>
              <w:start w:w="120" w:type="dxa"/>
              <w:bottom w:w="100" w:type="dxa"/>
              <w:end w:w="120" w:type="dxa"/>
            </w:tcMar>
          </w:tcPr>
          <w:p>
            <w:r>
              <w:rPr>
                <w:rFonts w:ascii="Calibri" w:hAnsi="Calibri"/>
                <w:b w:val="0"/>
                <w:i w:val="0"/>
                <w:color w:val="17212B"/>
                <w:sz w:val="22"/>
              </w:rPr>
              <w:t>Parallel, sequential, targeted, and hybrid activation framework</w:t>
            </w:r>
          </w:p>
        </w:tc>
      </w:tr>
      <w:tr>
        <w:tc>
          <w:tcPr>
            <w:tcW w:type="dxa" w:w="4680"/>
            <w:tcMar>
              <w:top w:w="100" w:type="dxa"/>
              <w:start w:w="120" w:type="dxa"/>
              <w:bottom w:w="100" w:type="dxa"/>
              <w:end w:w="120" w:type="dxa"/>
            </w:tcMar>
          </w:tcPr>
          <w:p>
            <w:r>
              <w:rPr>
                <w:rFonts w:ascii="Calibri" w:hAnsi="Calibri"/>
                <w:b/>
                <w:i w:val="0"/>
                <w:color w:val="173B67"/>
                <w:sz w:val="22"/>
              </w:rPr>
              <w:t>Rationale explains emergent intelligence</w:t>
            </w:r>
          </w:p>
        </w:tc>
        <w:tc>
          <w:tcPr>
            <w:tcW w:type="dxa" w:w="4680"/>
            <w:tcMar>
              <w:top w:w="100" w:type="dxa"/>
              <w:start w:w="120" w:type="dxa"/>
              <w:bottom w:w="100" w:type="dxa"/>
              <w:end w:w="120" w:type="dxa"/>
            </w:tcMar>
          </w:tcPr>
          <w:p>
            <w:r>
              <w:rPr>
                <w:rFonts w:ascii="Calibri" w:hAnsi="Calibri"/>
                <w:b w:val="0"/>
                <w:i w:val="0"/>
                <w:color w:val="17212B"/>
                <w:sz w:val="22"/>
              </w:rPr>
              <w:t>Worked example and collaboration rationale</w:t>
            </w:r>
          </w:p>
        </w:tc>
      </w:tr>
    </w:tbl>
    <w:sectPr w:rsidR="00FC693F" w:rsidRPr="0006063C" w:rsidSect="00034616">
      <w:headerReference w:type="default" r:id="rId9"/>
      <w:footerReference w:type="default" r:id="rId10"/>
      <w:pgSz w:w="12240" w:h="15840"/>
      <w:pgMar w:top="1123" w:right="1440" w:bottom="1037" w:left="1440" w:header="547" w:footer="54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536273"/>
        <w:sz w:val="17"/>
      </w:rPr>
      <w:t>Problem 3 | Designing a Multi-Agent Research System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val="0"/>
        <w:i w:val="0"/>
        <w:color w:val="536273"/>
        <w:sz w:val="17"/>
      </w:rPr>
      <w:t>Multi-Agent Research System | Design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Calibri" w:hAnsi="Calibri"/>
      <w:color w:val="17212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Calibri" w:hAnsi="Calibri"/>
      <w:b/>
      <w:bCs/>
      <w:color w:val="173B67"/>
      <w:sz w:val="34"/>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Calibri" w:hAnsi="Calibri"/>
      <w:b/>
      <w:bCs/>
      <w:color w:val="2867B2"/>
      <w:sz w:val="27"/>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73B6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76"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line="276"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Designing a Multi-Agent Research System</dc:title>
  <dc:subject>Collaborative multi-agent architecture and workflow design</dc:subject>
  <dc:creator>LLM Concepts</dc:creator>
  <cp:keywords>multi-agent, collaborative state, market research, workflow, synthesis</cp:keywords>
  <dc:description>generated by python-docx</dc:description>
  <cp:lastModifiedBy/>
  <cp:revision>1</cp:revision>
  <dcterms:created xsi:type="dcterms:W3CDTF">2013-12-23T23:15:00Z</dcterms:created>
  <dcterms:modified xsi:type="dcterms:W3CDTF">2013-12-23T23:15:00Z</dcterms:modified>
  <cp:category/>
</cp:coreProperties>
</file>