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b/>
          <w:color w:val="002060"/>
          <w:sz w:val="32"/>
        </w:rPr>
        <w:t>HR Employee Performance Analysis Dashboard</w:t>
      </w:r>
    </w:p>
    <w:p>
      <w:pPr>
        <w:spacing w:before="200" w:after="80"/>
      </w:pPr>
      <w:r>
        <w:rPr>
          <w:b/>
          <w:color w:val="3333CC"/>
          <w:sz w:val="21"/>
        </w:rPr>
        <w:t>1. Project Overview and Objective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This project involves cleaning, transforming, and analysing raw HR employee data using </w:t>
      </w:r>
      <w:r>
        <w:rPr>
          <w:b/>
          <w:color w:val="1F3864"/>
          <w:sz w:val="21"/>
        </w:rPr>
        <w:t>Excel</w:t>
      </w:r>
      <w:r>
        <w:rPr>
          <w:b w:val="0"/>
          <w:color w:val="1F3864"/>
          <w:sz w:val="21"/>
        </w:rPr>
        <w:t xml:space="preserve"> and creating an interactive </w:t>
      </w:r>
      <w:r>
        <w:rPr>
          <w:b/>
          <w:color w:val="1F3864"/>
          <w:sz w:val="21"/>
        </w:rPr>
        <w:t>Power BI dashboard</w:t>
      </w:r>
      <w:r>
        <w:rPr>
          <w:b w:val="0"/>
          <w:color w:val="1F3864"/>
          <w:sz w:val="21"/>
        </w:rPr>
        <w:t xml:space="preserve"> to derive meaningful HR insights on employee performance, attrition, and workforce management.</w:t>
      </w:r>
    </w:p>
    <w:p>
      <w:pPr>
        <w:spacing w:before="0" w:after="80"/>
      </w:pPr>
      <w:r>
        <w:rPr>
          <w:b w:val="0"/>
          <w:color w:val="1F3864"/>
          <w:sz w:val="21"/>
        </w:rPr>
        <w:t>The main objective is to demonstrate data pre-processing techniques using Excel and an interactive Power BI dashboard to help HR teams make informed decisions on employee retention, performance improvement, and workforce planning.</w:t>
      </w:r>
    </w:p>
    <w:p>
      <w:pPr>
        <w:spacing w:before="200" w:after="80"/>
      </w:pPr>
      <w:r>
        <w:rPr>
          <w:b/>
          <w:color w:val="3333CC"/>
          <w:sz w:val="21"/>
        </w:rPr>
        <w:t>2. Data Sources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Source Description and Timeline: </w:t>
      </w:r>
      <w:r>
        <w:rPr>
          <w:b w:val="0"/>
          <w:color w:val="1F3864"/>
          <w:sz w:val="21"/>
        </w:rPr>
        <w:t>Simulated HR dataset containing employee records across multiple departments — 2023–2024.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Domain: </w:t>
      </w:r>
      <w:r>
        <w:rPr>
          <w:b w:val="0"/>
          <w:color w:val="1F3864"/>
          <w:sz w:val="21"/>
        </w:rPr>
        <w:t>Human Resources / Workforce Analytics.</w:t>
      </w:r>
    </w:p>
    <w:p>
      <w:pPr>
        <w:spacing w:before="200" w:after="80"/>
      </w:pPr>
      <w:r>
        <w:rPr>
          <w:b/>
          <w:color w:val="3333CC"/>
          <w:sz w:val="21"/>
        </w:rPr>
        <w:t>3. Problem Statement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 w:val="0"/>
          <w:color w:val="1F3864"/>
          <w:sz w:val="21"/>
        </w:rPr>
        <w:t>To evaluate employee performance across departments and identify top and low performers using Performance Score.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 w:val="0"/>
          <w:color w:val="1F3864"/>
          <w:sz w:val="21"/>
        </w:rPr>
        <w:t>To analyse the impact of work mode (WFH, Hybrid, Office) on performance, satisfaction, and attrition.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 w:val="0"/>
          <w:color w:val="1F3864"/>
          <w:sz w:val="21"/>
        </w:rPr>
        <w:t>To study the relationship between monthly salary, experience years, and performance category.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 w:val="0"/>
          <w:color w:val="1F3864"/>
          <w:sz w:val="21"/>
        </w:rPr>
        <w:t>To understand attrition patterns and identify key factors contributing to employee turnover.</w:t>
      </w:r>
    </w:p>
    <w:p>
      <w:pPr>
        <w:spacing w:before="200" w:after="80"/>
      </w:pPr>
      <w:r>
        <w:rPr>
          <w:b/>
          <w:color w:val="3333CC"/>
          <w:sz w:val="21"/>
        </w:rPr>
        <w:t>4. Attribute (Column / Features)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</w:tcPr>
          <w:p>
            <w:r>
              <w:rPr>
                <w:b/>
                <w:color w:val="1F3864"/>
                <w:sz w:val="21"/>
              </w:rPr>
              <w:t>Attribute Name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  <w:sz w:val="21"/>
              </w:rPr>
              <w:t>Data Type</w:t>
            </w:r>
          </w:p>
        </w:tc>
        <w:tc>
          <w:tcPr>
            <w:tcW w:type="dxa" w:w="5184"/>
          </w:tcPr>
          <w:p>
            <w:r>
              <w:rPr>
                <w:b/>
                <w:color w:val="1F3864"/>
                <w:sz w:val="21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Integer / String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Unique identifier for each employee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Categorical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Department where employee works (Finance, IT, Marketing, Sales, HR)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Experience_Years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(Integer)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Number of years of work experience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Monthly_Salary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(Float)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Gross monthly salary of the employee (INR)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Attendance_Percentage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(Float)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Attendance rate of the employee (%)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Performance_Score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(Float)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Employee performance rating on a 1–5 scale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Training_Hours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(Integer)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Total training hours attended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Satisfaction_Score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(Integer)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Employee satisfaction score (1–10)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Overtime_Hours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Numeric (Integer)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Monthly overtime hours worked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Work_Mode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Categorical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WFH / Hybrid / Office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Attrition_Status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Boolean (Yes/No)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Whether the employee has left the organisation</w:t>
            </w:r>
          </w:p>
        </w:tc>
      </w:tr>
      <w:tr>
        <w:tc>
          <w:tcPr>
            <w:tcW w:type="dxa" w:w="2592"/>
          </w:tcPr>
          <w:p>
            <w:r>
              <w:rPr>
                <w:color w:val="1F3864"/>
                <w:sz w:val="21"/>
              </w:rPr>
              <w:t>Performance_Category</w:t>
            </w:r>
          </w:p>
        </w:tc>
        <w:tc>
          <w:tcPr>
            <w:tcW w:type="dxa" w:w="2160"/>
          </w:tcPr>
          <w:p>
            <w:r>
              <w:rPr>
                <w:color w:val="1F3864"/>
                <w:sz w:val="21"/>
              </w:rPr>
              <w:t>Categorical (DAX)</w:t>
            </w:r>
          </w:p>
        </w:tc>
        <w:tc>
          <w:tcPr>
            <w:tcW w:type="dxa" w:w="5184"/>
          </w:tcPr>
          <w:p>
            <w:r>
              <w:rPr>
                <w:color w:val="1F3864"/>
                <w:sz w:val="21"/>
              </w:rPr>
              <w:t>Derived: High (≥4.0) / Medium (2.5–3.9) / Low (&lt;2.5)</w:t>
            </w:r>
          </w:p>
        </w:tc>
      </w:tr>
    </w:tbl>
    <w:p/>
    <w:p>
      <w:pPr>
        <w:spacing w:before="200" w:after="80"/>
      </w:pPr>
      <w:r>
        <w:rPr>
          <w:b/>
          <w:color w:val="3333CC"/>
          <w:sz w:val="21"/>
        </w:rPr>
        <w:t>5. Tools &amp; Technologies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Excel: </w:t>
      </w:r>
      <w:r>
        <w:rPr>
          <w:b w:val="0"/>
          <w:color w:val="1F3864"/>
          <w:sz w:val="21"/>
        </w:rPr>
        <w:t>Data cleaning, transformation, handling missing values, removing duplicates, and conditional formatting.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Power BI: </w:t>
      </w:r>
      <w:r>
        <w:rPr>
          <w:b w:val="0"/>
          <w:color w:val="1F3864"/>
          <w:sz w:val="21"/>
        </w:rPr>
        <w:t>Data modelling, DAX calculations, visualisation, and interactive dashboard creation.</w:t>
      </w:r>
    </w:p>
    <w:p>
      <w:pPr>
        <w:spacing w:before="200" w:after="80"/>
      </w:pPr>
      <w:r>
        <w:rPr>
          <w:b/>
          <w:color w:val="3333CC"/>
          <w:sz w:val="21"/>
        </w:rPr>
        <w:t>6. Data Pre-Processing (Excel / Power Query)</w:t>
      </w:r>
    </w:p>
    <w:p>
      <w:pPr>
        <w:spacing w:before="120" w:after="40"/>
      </w:pPr>
      <w:r>
        <w:rPr>
          <w:b/>
          <w:color w:val="1F3864"/>
          <w:sz w:val="21"/>
        </w:rPr>
        <w:t>Tasks Performed: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Data Cleaning &amp; Transformation: </w:t>
      </w:r>
      <w:r>
        <w:rPr>
          <w:b w:val="0"/>
          <w:color w:val="1F3864"/>
          <w:sz w:val="21"/>
        </w:rPr>
        <w:t>Removed duplicates, handled missing values, validated data types, removed unwanted columns, and applied conditional formatting to flag salary outliers above ₹1,00,000.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Filtering &amp; Sorting: </w:t>
      </w:r>
      <w:r>
        <w:rPr>
          <w:b w:val="0"/>
          <w:color w:val="1F3864"/>
          <w:sz w:val="21"/>
        </w:rPr>
        <w:t>Organised data to focus on relevant records by department, work mode, and attrition status.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Pivot Tables: </w:t>
      </w:r>
      <w:r>
        <w:rPr>
          <w:b w:val="0"/>
          <w:color w:val="1F3864"/>
          <w:sz w:val="21"/>
        </w:rPr>
        <w:t>Generated Pivot Tables for summarising average salary, performance score, and attendance by department.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Fact and Dimension Tables: </w:t>
      </w:r>
      <w:r>
        <w:rPr>
          <w:b w:val="0"/>
          <w:color w:val="1F3864"/>
          <w:sz w:val="21"/>
        </w:rPr>
        <w:t>Employee data structured as a Fact table; Department and Work Mode as Dimension tables for clean modelling.</w:t>
      </w:r>
    </w:p>
    <w:p>
      <w:pPr>
        <w:spacing w:before="200" w:after="80"/>
      </w:pPr>
      <w:r>
        <w:rPr>
          <w:b/>
          <w:color w:val="3333CC"/>
          <w:sz w:val="21"/>
        </w:rPr>
        <w:t>7. Data Modelling and DAX (Power BI)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Data Model: </w:t>
      </w:r>
      <w:r>
        <w:rPr>
          <w:b w:val="0"/>
          <w:color w:val="1F3864"/>
          <w:sz w:val="21"/>
        </w:rPr>
        <w:t>Established a star schema relationship between the Employee fact table and dimension tables (Department, Work Mode). Defined cardinality as one-to-many where applicable.</w:t>
      </w:r>
    </w:p>
    <w:p>
      <w:pPr>
        <w:spacing w:before="80" w:after="80"/>
      </w:pPr>
      <w:r>
        <w:rPr>
          <w:b/>
          <w:color w:val="EE0000"/>
          <w:sz w:val="21"/>
        </w:rPr>
        <w:t>SCREENSHOT OF DATA MODELLING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Calculated Columns &amp; DAX Measures: </w:t>
      </w:r>
      <w:r>
        <w:rPr>
          <w:b w:val="0"/>
          <w:color w:val="1F3864"/>
          <w:sz w:val="21"/>
        </w:rPr>
        <w:t>The following DAX measures and calculated columns were implemented: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Performance Category (Derived Column): </w:t>
      </w:r>
      <w:r>
        <w:rPr>
          <w:b w:val="0"/>
          <w:color w:val="1F3864"/>
          <w:sz w:val="21"/>
        </w:rPr>
        <w:t>Classified employees as High (Performance Score ≥ 4.0), Medium (2.5–3.9), or Low (&lt; 2.5) using DAX IF logic.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Average Salary Measure: </w:t>
      </w:r>
      <w:r>
        <w:rPr>
          <w:b w:val="0"/>
          <w:color w:val="1F3864"/>
          <w:sz w:val="21"/>
        </w:rPr>
        <w:t>AVERAGE(Employee[Monthly_Salary]) — used in KPI card.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Average Performance Score: </w:t>
      </w:r>
      <w:r>
        <w:rPr>
          <w:b w:val="0"/>
          <w:color w:val="1F3864"/>
          <w:sz w:val="21"/>
        </w:rPr>
        <w:t>AVERAGE(Employee[Performance_Score]) — used in KPI card.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Total Employees: </w:t>
      </w:r>
      <w:r>
        <w:rPr>
          <w:b w:val="0"/>
          <w:color w:val="1F3864"/>
          <w:sz w:val="21"/>
        </w:rPr>
        <w:t>COUNT(Employee[Employee_ID]) — used in KPI card.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Attrition Rate %: </w:t>
      </w:r>
      <w:r>
        <w:rPr>
          <w:b w:val="0"/>
          <w:color w:val="1F3864"/>
          <w:sz w:val="21"/>
        </w:rPr>
        <w:t>DIVIDE(COUNTROWS(FILTER(Employee, Employee[Attrition_Status]="Yes")), COUNT(Employee[Employee_ID])) * 100</w:t>
      </w:r>
    </w:p>
    <w:p>
      <w:pPr>
        <w:spacing w:before="200" w:after="80"/>
      </w:pPr>
      <w:r>
        <w:rPr>
          <w:b/>
          <w:color w:val="3333CC"/>
          <w:sz w:val="21"/>
        </w:rPr>
        <w:t>8. Analysis and Visualizations (Power BI)</w:t>
      </w:r>
    </w:p>
    <w:p>
      <w:pPr>
        <w:spacing w:before="120" w:after="40"/>
      </w:pPr>
      <w:r>
        <w:rPr>
          <w:b/>
          <w:color w:val="1F3864"/>
          <w:sz w:val="21"/>
        </w:rPr>
        <w:t>Dashboard Features: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KPI Cards: </w:t>
      </w:r>
      <w:r>
        <w:rPr>
          <w:b w:val="0"/>
          <w:color w:val="1F3864"/>
          <w:sz w:val="21"/>
        </w:rPr>
        <w:t>Total Employees, Average Monthly Salary, and Average Performance Score displayed at the top of the dashboard.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Department-wise Avg Salary (Bar Chart): </w:t>
      </w:r>
      <w:r>
        <w:rPr>
          <w:b w:val="0"/>
          <w:color w:val="1F3864"/>
          <w:sz w:val="21"/>
        </w:rPr>
        <w:t>Compares average monthly salary across departments. IT and Finance show the highest salary trends.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Department-wise Avg Performance Score (Bar Chart): </w:t>
      </w:r>
      <w:r>
        <w:rPr>
          <w:b w:val="0"/>
          <w:color w:val="1F3864"/>
          <w:sz w:val="21"/>
        </w:rPr>
        <w:t>Identifies best-performing departments and those requiring intervention.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Employee Attrition Distribution (Pie Chart): </w:t>
      </w:r>
      <w:r>
        <w:rPr>
          <w:b w:val="0"/>
          <w:color w:val="1F3864"/>
          <w:sz w:val="21"/>
        </w:rPr>
        <w:t>Shows proportion of employees who stayed vs. left, enabling retention strategy planning.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Work Mode Distribution (Donut Chart): </w:t>
      </w:r>
      <w:r>
        <w:rPr>
          <w:b w:val="0"/>
          <w:color w:val="1F3864"/>
          <w:sz w:val="21"/>
        </w:rPr>
        <w:t>Displays employee split across WFH, Hybrid, and Office modes.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Attendance vs Performance (Scatter Plot): </w:t>
      </w:r>
      <w:r>
        <w:rPr>
          <w:b w:val="0"/>
          <w:color w:val="1F3864"/>
          <w:sz w:val="21"/>
        </w:rPr>
        <w:t>Maps attendance percentage against performance score to detect attendance-driven performance patterns.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Report made interactive using </w:t>
      </w:r>
      <w:r>
        <w:rPr>
          <w:b/>
          <w:color w:val="1F3864"/>
          <w:sz w:val="21"/>
        </w:rPr>
        <w:t>Drill-down, Filters and Slicers</w:t>
      </w:r>
      <w:r>
        <w:rPr>
          <w:b w:val="0"/>
          <w:color w:val="1F3864"/>
          <w:sz w:val="21"/>
        </w:rPr>
        <w:t xml:space="preserve"> by Department, Work Mode, and Performance Category.</w:t>
      </w:r>
    </w:p>
    <w:p>
      <w:pPr>
        <w:spacing w:before="0" w:after="80"/>
      </w:pPr>
      <w:r>
        <w:rPr>
          <w:b/>
          <w:color w:val="1F3864"/>
          <w:sz w:val="21"/>
        </w:rPr>
        <w:t>Bookmarks, clear titles for each visual, and data labels applied throughout.</w:t>
      </w:r>
    </w:p>
    <w:p>
      <w:pPr>
        <w:spacing w:before="0" w:after="80"/>
      </w:pPr>
      <w:r>
        <w:rPr>
          <w:b/>
          <w:color w:val="1F3864"/>
          <w:sz w:val="21"/>
        </w:rPr>
        <w:t>A consolidated single-page Dashboard and a multi-page Report created.</w:t>
      </w:r>
    </w:p>
    <w:p>
      <w:pPr>
        <w:spacing w:before="80" w:after="80"/>
      </w:pPr>
      <w:r>
        <w:rPr>
          <w:b/>
          <w:color w:val="EE0000"/>
          <w:sz w:val="21"/>
        </w:rPr>
        <w:t>SCREENSHOT OF DASHBOARD / REPORT</w:t>
      </w:r>
    </w:p>
    <w:p>
      <w:pPr>
        <w:spacing w:before="200" w:after="80"/>
      </w:pPr>
      <w:r>
        <w:rPr>
          <w:b/>
          <w:color w:val="3333CC"/>
          <w:sz w:val="21"/>
        </w:rPr>
        <w:t>9. Insights &amp; Conclusions</w:t>
      </w:r>
    </w:p>
    <w:p>
      <w:pPr>
        <w:spacing w:before="0" w:after="80"/>
        <w:numPr>
          <w:ilvl w:val="0"/>
          <w:numId w:val="1"/>
        </w:numPr>
        <w:ind w:left="360" w:hanging="360"/>
      </w:pPr>
      <w:r>
        <w:rPr>
          <w:b/>
          <w:color w:val="1F3864"/>
          <w:sz w:val="21"/>
        </w:rPr>
        <w:t xml:space="preserve">Key Findings: </w:t>
      </w:r>
      <w:r>
        <w:rPr>
          <w:b w:val="0"/>
          <w:color w:val="1F3864"/>
          <w:sz w:val="21"/>
        </w:rPr>
        <w:t>The following trends and patterns were identified from the dashboard analysis:</w:t>
      </w:r>
    </w:p>
    <w:p>
      <w:pPr>
        <w:spacing w:before="120" w:after="40"/>
      </w:pPr>
      <w:r>
        <w:rPr>
          <w:b/>
          <w:color w:val="1F3864"/>
          <w:sz w:val="21"/>
        </w:rPr>
        <w:t>Provide the analysis insights: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Descriptive: </w:t>
      </w:r>
      <w:r>
        <w:rPr>
          <w:b w:val="0"/>
          <w:color w:val="1F3864"/>
          <w:sz w:val="21"/>
        </w:rPr>
        <w:t>IT and Finance departments have the highest average salaries. ~30% of employees fall in the High performance category. WFH employees make up the largest work mode group.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Diagnosis: </w:t>
      </w:r>
      <w:r>
        <w:rPr>
          <w:b w:val="0"/>
          <w:color w:val="1F3864"/>
          <w:sz w:val="21"/>
        </w:rPr>
        <w:t>Low-performing employees (Performance Score &lt; 2.5) tend to have lower attendance percentages and fewer training hours, indicating a link between training investment and performance.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Predictive: </w:t>
      </w:r>
      <w:r>
        <w:rPr>
          <w:b w:val="0"/>
          <w:color w:val="1F3864"/>
          <w:sz w:val="21"/>
        </w:rPr>
        <w:t>Employees with low satisfaction scores (&lt; 5) and high overtime hours show a higher likelihood of attrition, suggesting burnout as a key risk factor.</w:t>
      </w:r>
    </w:p>
    <w:p>
      <w:pPr>
        <w:spacing w:before="0" w:after="80"/>
      </w:pPr>
      <w:r>
        <w:rPr>
          <w:b w:val="0"/>
          <w:color w:val="1F3864"/>
          <w:sz w:val="21"/>
        </w:rPr>
        <w:t xml:space="preserve">– </w:t>
      </w:r>
      <w:r>
        <w:rPr>
          <w:b/>
          <w:color w:val="1F3864"/>
          <w:sz w:val="21"/>
        </w:rPr>
        <w:t xml:space="preserve">Prescriptive: </w:t>
      </w:r>
      <w:r>
        <w:rPr>
          <w:b w:val="0"/>
          <w:color w:val="1F3864"/>
          <w:sz w:val="21"/>
        </w:rPr>
        <w:t>HR should increase training hours for low-performing employees, monitor overtime for at-risk groups, and introduce flexible work policies to improve satisfaction and reduce attrition.</w:t>
      </w:r>
    </w:p>
    <w:p>
      <w:pPr>
        <w:spacing w:before="200" w:after="80"/>
      </w:pPr>
      <w:r>
        <w:rPr>
          <w:color w:val="1F3864"/>
          <w:sz w:val="21"/>
        </w:rPr>
        <w:t>10. Conclusions</w:t>
      </w:r>
    </w:p>
    <w:p>
      <w:pPr>
        <w:spacing w:before="0" w:after="80"/>
      </w:pPr>
      <w:r>
        <w:rPr>
          <w:b w:val="0"/>
          <w:color w:val="1F3864"/>
          <w:sz w:val="21"/>
        </w:rPr>
        <w:t>The integration of Excel and Power BI proved effective for end-to-end HR data analysis, from raw data cleaning to visual reporting. The dashboard enables HR teams to monitor employee performance, identify attrition risks, and make data-driven workforce decisions efficiently. The use of DAX-derived performance categories and interactive filters adds significant analytical depth to the reporting.</w:t>
      </w:r>
    </w:p>
    <w:sectPr w:rsidR="00FC693F" w:rsidRPr="0006063C" w:rsidSect="00034616">
      <w:pgSz w:w="11909" w:h="16834"/>
      <w:pgMar w:top="706" w:right="1440" w:bottom="9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