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5A647A" w14:textId="77777777" w:rsidR="00AB0B34" w:rsidRDefault="00B432DA">
      <w:pPr>
        <w:pageBreakBefore/>
        <w:spacing w:after="0" w:line="240" w:lineRule="auto"/>
        <w:ind w:left="3969" w:firstLine="709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Приложение №8</w:t>
      </w:r>
    </w:p>
    <w:p w14:paraId="7DCD7901" w14:textId="77777777" w:rsidR="00AB0B34" w:rsidRDefault="00B432DA">
      <w:pPr>
        <w:spacing w:before="120" w:after="0" w:line="240" w:lineRule="auto"/>
        <w:ind w:left="4678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к Концессионному соглашению о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</w:t>
      </w:r>
    </w:p>
    <w:p w14:paraId="4EA80FA7" w14:textId="317843AA" w:rsidR="00AB0B34" w:rsidRDefault="00B432DA">
      <w:pPr>
        <w:spacing w:before="120" w:after="0" w:line="240" w:lineRule="auto"/>
        <w:ind w:left="4678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sz w:val="24"/>
        </w:rPr>
        <w:t xml:space="preserve">от </w:t>
      </w:r>
      <w:r w:rsidR="008F5C66">
        <w:rPr>
          <w:rFonts w:ascii="Times New Roman" w:hAnsi="Times New Roman"/>
          <w:sz w:val="24"/>
        </w:rPr>
        <w:t>28.12</w:t>
      </w:r>
      <w:r w:rsidR="009D26E5">
        <w:rPr>
          <w:rFonts w:ascii="Times New Roman" w:hAnsi="Times New Roman"/>
          <w:sz w:val="24"/>
        </w:rPr>
        <w:t>.</w:t>
      </w:r>
      <w:bookmarkStart w:id="0" w:name="_GoBack"/>
      <w:bookmarkEnd w:id="0"/>
      <w:r>
        <w:rPr>
          <w:rFonts w:ascii="Times New Roman" w:hAnsi="Times New Roman"/>
          <w:sz w:val="24"/>
        </w:rPr>
        <w:t>2024 года № ____________</w:t>
      </w:r>
    </w:p>
    <w:p w14:paraId="206D4FEA" w14:textId="77777777" w:rsidR="00AB0B34" w:rsidRDefault="00AB0B34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1C9F7A1C" w14:textId="77777777" w:rsidR="00AB0B34" w:rsidRDefault="00AB0B34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2D1C3D32" w14:textId="77777777" w:rsidR="00AB0B34" w:rsidRDefault="00AB0B34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2F646368" w14:textId="77777777" w:rsidR="00AB0B34" w:rsidRDefault="00AB0B34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3946681F" w14:textId="77777777" w:rsidR="00AB0B34" w:rsidRDefault="00AB0B34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5D1530D8" w14:textId="77777777" w:rsidR="00AB0B34" w:rsidRDefault="00B432DA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ШТРАФЫ</w:t>
      </w:r>
    </w:p>
    <w:p w14:paraId="10FFC888" w14:textId="77777777" w:rsidR="00AB0B34" w:rsidRDefault="00B432DA">
      <w:pPr>
        <w:ind w:firstLine="709"/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sz w:val="24"/>
        </w:rPr>
        <w:br w:type="page"/>
      </w:r>
    </w:p>
    <w:p w14:paraId="3FBCB8C3" w14:textId="77777777" w:rsidR="00AB0B34" w:rsidRDefault="00B432DA">
      <w:pPr>
        <w:spacing w:after="0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lastRenderedPageBreak/>
        <w:t>Требования по качеству Эксплуатации</w:t>
      </w:r>
    </w:p>
    <w:p w14:paraId="4608E2E3" w14:textId="77777777" w:rsidR="00AB0B34" w:rsidRDefault="00AB0B34">
      <w:pPr>
        <w:spacing w:after="0"/>
        <w:jc w:val="center"/>
        <w:rPr>
          <w:rFonts w:ascii="Times New Roman" w:hAnsi="Times New Roman"/>
          <w:b/>
          <w:sz w:val="28"/>
        </w:rPr>
      </w:pPr>
    </w:p>
    <w:p w14:paraId="5DF4F455" w14:textId="77777777" w:rsidR="00AB0B34" w:rsidRDefault="00B432DA">
      <w:pPr>
        <w:pStyle w:val="a6"/>
        <w:numPr>
          <w:ilvl w:val="0"/>
          <w:numId w:val="1"/>
        </w:numPr>
        <w:spacing w:after="0" w:line="288" w:lineRule="auto"/>
        <w:ind w:left="0" w:firstLine="709"/>
        <w:contextualSpacing w:val="0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Качество эксплуатации системы ФВФ</w:t>
      </w:r>
    </w:p>
    <w:p w14:paraId="194E40DD" w14:textId="77777777" w:rsidR="00AB0B34" w:rsidRDefault="00B432DA">
      <w:pPr>
        <w:pStyle w:val="14"/>
        <w:widowControl w:val="0"/>
        <w:spacing w:after="24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Концессионер обязуется обеспечить следующие показатели эксплуатационной доступности Объекта Соглашения с учетом положений Приложения № 3 к Соглашению и Регламента Эксплуатации:</w:t>
      </w:r>
    </w:p>
    <w:tbl>
      <w:tblPr>
        <w:tblStyle w:val="af5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6804"/>
        <w:gridCol w:w="2546"/>
      </w:tblGrid>
      <w:tr w:rsidR="00AB0B34" w14:paraId="06ADD1D3" w14:textId="77777777">
        <w:tc>
          <w:tcPr>
            <w:tcW w:w="6804" w:type="dxa"/>
          </w:tcPr>
          <w:p w14:paraId="6A1B2BE9" w14:textId="77777777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546" w:type="dxa"/>
          </w:tcPr>
          <w:p w14:paraId="2F706A61" w14:textId="77777777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AB0B34" w14:paraId="4269D0E1" w14:textId="77777777">
        <w:tc>
          <w:tcPr>
            <w:tcW w:w="6804" w:type="dxa"/>
          </w:tcPr>
          <w:p w14:paraId="5557432C" w14:textId="77777777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Показатель уровня нормативной эксплуатационной доступности комплексов ФВФ нарушений ПДД</w:t>
            </w:r>
          </w:p>
        </w:tc>
        <w:tc>
          <w:tcPr>
            <w:tcW w:w="2546" w:type="dxa"/>
          </w:tcPr>
          <w:p w14:paraId="0FB8DFAE" w14:textId="77777777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95%</w:t>
            </w:r>
          </w:p>
        </w:tc>
      </w:tr>
      <w:tr w:rsidR="00AB0B34" w14:paraId="007DBF95" w14:textId="77777777">
        <w:tc>
          <w:tcPr>
            <w:tcW w:w="6804" w:type="dxa"/>
          </w:tcPr>
          <w:p w14:paraId="707F2A31" w14:textId="77777777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Качество эксплуатации программного обеспечения: доступность ПО</w:t>
            </w:r>
          </w:p>
        </w:tc>
        <w:tc>
          <w:tcPr>
            <w:tcW w:w="2546" w:type="dxa"/>
          </w:tcPr>
          <w:p w14:paraId="59828D90" w14:textId="77777777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99%</w:t>
            </w:r>
          </w:p>
        </w:tc>
      </w:tr>
    </w:tbl>
    <w:p w14:paraId="732B6AAD" w14:textId="77777777" w:rsidR="00AB0B34" w:rsidRDefault="00AB0B34">
      <w:pPr>
        <w:pStyle w:val="a6"/>
        <w:spacing w:after="0" w:line="288" w:lineRule="auto"/>
        <w:ind w:left="360"/>
        <w:contextualSpacing w:val="0"/>
        <w:jc w:val="both"/>
        <w:rPr>
          <w:rFonts w:ascii="Times New Roman" w:hAnsi="Times New Roman"/>
          <w:sz w:val="24"/>
        </w:rPr>
      </w:pPr>
    </w:p>
    <w:p w14:paraId="63A86DDA" w14:textId="77777777" w:rsidR="00AB0B34" w:rsidRDefault="00B432DA">
      <w:pPr>
        <w:pStyle w:val="14"/>
        <w:widowControl w:val="0"/>
        <w:spacing w:after="24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Концессионер обязуется обеспечить соблюдение следующих дополнительных показателей операционной эффективности (дополнительных показателей эксплуатационной доступности Объекта Соглашения):</w:t>
      </w:r>
    </w:p>
    <w:tbl>
      <w:tblPr>
        <w:tblStyle w:val="af5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6804"/>
        <w:gridCol w:w="2546"/>
      </w:tblGrid>
      <w:tr w:rsidR="00AB0B34" w14:paraId="12CDA8AA" w14:textId="77777777">
        <w:tc>
          <w:tcPr>
            <w:tcW w:w="6804" w:type="dxa"/>
          </w:tcPr>
          <w:p w14:paraId="4F8B2514" w14:textId="77777777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546" w:type="dxa"/>
          </w:tcPr>
          <w:p w14:paraId="281A44C9" w14:textId="77777777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AB0B34" w14:paraId="73DFF09D" w14:textId="77777777">
        <w:tc>
          <w:tcPr>
            <w:tcW w:w="6804" w:type="dxa"/>
          </w:tcPr>
          <w:p w14:paraId="76CC4CD5" w14:textId="0D815C24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Предельное время восстановления работоспособности серверного оборудования (восстановления функционала, необходимого для </w:t>
            </w:r>
            <w:r w:rsidR="008F5C66">
              <w:rPr>
                <w:rFonts w:ascii="Times New Roman" w:hAnsi="Times New Roman"/>
                <w:sz w:val="24"/>
              </w:rPr>
              <w:t>э</w:t>
            </w:r>
            <w:r>
              <w:rPr>
                <w:rFonts w:ascii="Times New Roman" w:hAnsi="Times New Roman"/>
                <w:sz w:val="24"/>
              </w:rPr>
              <w:t>ксплуатации Объекта Соглашения в соответствии с Регламентом Эксплуатации)</w:t>
            </w:r>
          </w:p>
        </w:tc>
        <w:tc>
          <w:tcPr>
            <w:tcW w:w="2546" w:type="dxa"/>
          </w:tcPr>
          <w:p w14:paraId="16AC87BC" w14:textId="77777777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4 часа</w:t>
            </w:r>
          </w:p>
        </w:tc>
      </w:tr>
      <w:tr w:rsidR="00AB0B34" w14:paraId="5369F15B" w14:textId="77777777">
        <w:tc>
          <w:tcPr>
            <w:tcW w:w="6804" w:type="dxa"/>
          </w:tcPr>
          <w:p w14:paraId="711EB583" w14:textId="77777777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Предельное время восстановления работоспособности системы хранения данных (восстановления функционала, необходимого для Эксплуатации Объекта Соглашения в соответствии с Регламентом Эксплуатации)</w:t>
            </w:r>
          </w:p>
        </w:tc>
        <w:tc>
          <w:tcPr>
            <w:tcW w:w="2546" w:type="dxa"/>
          </w:tcPr>
          <w:p w14:paraId="422653CF" w14:textId="77777777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4 часа</w:t>
            </w:r>
          </w:p>
        </w:tc>
      </w:tr>
      <w:tr w:rsidR="00AB0B34" w14:paraId="2FEEB1D5" w14:textId="77777777">
        <w:tc>
          <w:tcPr>
            <w:tcW w:w="6804" w:type="dxa"/>
          </w:tcPr>
          <w:p w14:paraId="225D2300" w14:textId="77777777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Предельное время реакции на инциденты (сообщения о неработоспособности и (или) ненадлежащей работоспособности</w:t>
            </w:r>
          </w:p>
        </w:tc>
        <w:tc>
          <w:tcPr>
            <w:tcW w:w="2546" w:type="dxa"/>
          </w:tcPr>
          <w:p w14:paraId="6A1482E6" w14:textId="77777777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30 минут</w:t>
            </w:r>
          </w:p>
        </w:tc>
      </w:tr>
      <w:tr w:rsidR="00AB0B34" w14:paraId="5EE894BE" w14:textId="77777777">
        <w:tc>
          <w:tcPr>
            <w:tcW w:w="6804" w:type="dxa"/>
          </w:tcPr>
          <w:p w14:paraId="73291104" w14:textId="77777777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Предельное время восстановления работоспособности специального программного обеспечения (восстановления основного функционала, в соответствии с Приложением № 2 и Проектной Документацией)</w:t>
            </w:r>
          </w:p>
        </w:tc>
        <w:tc>
          <w:tcPr>
            <w:tcW w:w="2546" w:type="dxa"/>
          </w:tcPr>
          <w:p w14:paraId="097EC217" w14:textId="77777777" w:rsidR="00AB0B34" w:rsidRDefault="00B432DA">
            <w:pPr>
              <w:pStyle w:val="a6"/>
              <w:spacing w:line="288" w:lineRule="auto"/>
              <w:ind w:left="0"/>
              <w:contextualSpacing w:val="0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8 часов</w:t>
            </w:r>
          </w:p>
        </w:tc>
      </w:tr>
    </w:tbl>
    <w:p w14:paraId="1B9F1332" w14:textId="77777777" w:rsidR="00AB0B34" w:rsidRDefault="00AB0B34">
      <w:pPr>
        <w:pStyle w:val="a6"/>
        <w:spacing w:after="0" w:line="288" w:lineRule="auto"/>
        <w:ind w:left="360"/>
        <w:contextualSpacing w:val="0"/>
        <w:jc w:val="both"/>
        <w:rPr>
          <w:rFonts w:ascii="Times New Roman" w:hAnsi="Times New Roman"/>
          <w:sz w:val="24"/>
        </w:rPr>
      </w:pPr>
    </w:p>
    <w:p w14:paraId="40B0144B" w14:textId="77777777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Показатель уровня эксплуатационной доступности комплексов ФВФ нарушений ПДД</w:t>
      </w:r>
      <w:r>
        <w:rPr>
          <w:rFonts w:ascii="Times New Roman" w:hAnsi="Times New Roman"/>
          <w:sz w:val="24"/>
        </w:rPr>
        <w:t xml:space="preserve"> </w:t>
      </w:r>
    </w:p>
    <w:p w14:paraId="3E0764C0" w14:textId="77777777" w:rsidR="00AB0B34" w:rsidRDefault="00B432DA">
      <w:pPr>
        <w:pStyle w:val="14"/>
        <w:widowControl w:val="0"/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Показатель уровня эксплуатационной доступности комплексов ФВФ нарушений ПДД определяется исходя из числа дней работоспособности каждого комплекса соответствующей системы на протяжении отчетного периода:</w:t>
      </w:r>
    </w:p>
    <w:p w14:paraId="3CB0FBFB" w14:textId="7F1F64A3" w:rsidR="00AB0B34" w:rsidRDefault="00D503AA">
      <w:pPr>
        <w:spacing w:before="120" w:after="0" w:line="288" w:lineRule="auto"/>
        <w:ind w:firstLine="709"/>
        <w:jc w:val="both"/>
        <w:rPr>
          <w:rFonts w:ascii="Times New Roman" w:hAnsi="Times New Roman"/>
          <w:sz w:val="29"/>
        </w:rPr>
      </w:pPr>
      <m:oMath>
        <m:r>
          <m:rPr>
            <m:sty m:val="b"/>
          </m:rPr>
          <w:rPr>
            <w:rFonts w:ascii="Cambria Math" w:hAnsi="Cambria Math"/>
            <w:sz w:val="24"/>
          </w:rPr>
          <w:lastRenderedPageBreak/>
          <m:t>SLA</m:t>
        </m:r>
        <m:r>
          <m:rPr>
            <m:sty m:val="p"/>
          </m:rPr>
          <w:rPr>
            <w:rFonts w:ascii="Cambria Math" w:hAnsi="Cambria Math"/>
            <w:sz w:val="24"/>
          </w:rPr>
          <m:t>фвф</m:t>
        </m:r>
        <m:r>
          <w:rPr>
            <w:rFonts w:ascii="Cambria Math" w:hAnsi="Cambria Math"/>
            <w:sz w:val="24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sz w:val="24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ЧДР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1</m:t>
                </m:r>
              </m:sub>
            </m:sSub>
            <m:r>
              <w:rPr>
                <w:rFonts w:ascii="Cambria Math" w:hAnsi="Cambria Math"/>
                <w:sz w:val="24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ЧДР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2</m:t>
                </m:r>
              </m:sub>
            </m:sSub>
            <m:r>
              <w:rPr>
                <w:rFonts w:ascii="Cambria Math" w:hAnsi="Cambria Math"/>
                <w:sz w:val="24"/>
              </w:rPr>
              <m:t>+…+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ЧДР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N</m:t>
                </m:r>
              </m:sub>
            </m:sSub>
            <m:r>
              <w:rPr>
                <w:rFonts w:ascii="Cambria Math" w:hAnsi="Cambria Math"/>
                <w:sz w:val="24"/>
              </w:rPr>
              <m:t>)*100%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</w:rPr>
              <m:t>Число дней в месяце*N</m:t>
            </m:r>
          </m:den>
        </m:f>
      </m:oMath>
      <w:r w:rsidR="00B432DA">
        <w:rPr>
          <w:rFonts w:ascii="Times New Roman" w:hAnsi="Times New Roman"/>
          <w:sz w:val="29"/>
        </w:rPr>
        <w:t xml:space="preserve"> </w:t>
      </w:r>
      <w:r w:rsidR="00B432DA">
        <w:rPr>
          <w:rFonts w:ascii="Times New Roman" w:hAnsi="Times New Roman"/>
          <w:sz w:val="24"/>
        </w:rPr>
        <w:t>, где</w:t>
      </w:r>
      <w:r w:rsidR="00B432DA">
        <w:rPr>
          <w:rFonts w:ascii="Times New Roman" w:hAnsi="Times New Roman"/>
          <w:sz w:val="29"/>
        </w:rPr>
        <w:t xml:space="preserve"> </w:t>
      </w:r>
    </w:p>
    <w:p w14:paraId="6CBFAB0A" w14:textId="77777777" w:rsidR="00AB0B34" w:rsidRDefault="00B432DA">
      <w:pPr>
        <w:pStyle w:val="a6"/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«</w:t>
      </w:r>
      <w:proofErr w:type="spellStart"/>
      <w:r>
        <w:rPr>
          <w:rFonts w:ascii="Times New Roman" w:hAnsi="Times New Roman"/>
          <w:sz w:val="24"/>
        </w:rPr>
        <w:t>SLA</w:t>
      </w:r>
      <w:r>
        <w:rPr>
          <w:rFonts w:ascii="Times New Roman" w:hAnsi="Times New Roman"/>
          <w:sz w:val="24"/>
          <w:vertAlign w:val="subscript"/>
        </w:rPr>
        <w:t>фвф</w:t>
      </w:r>
      <w:proofErr w:type="spellEnd"/>
      <w:r>
        <w:rPr>
          <w:rFonts w:ascii="Times New Roman" w:hAnsi="Times New Roman"/>
          <w:sz w:val="24"/>
        </w:rPr>
        <w:t>» – показатель уровня эксплуатационной доступности системы ФВФ;</w:t>
      </w:r>
    </w:p>
    <w:p w14:paraId="10119D31" w14:textId="77777777" w:rsidR="00AB0B34" w:rsidRDefault="00B432DA">
      <w:pPr>
        <w:pStyle w:val="a6"/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«ЧДР </w:t>
      </w:r>
      <w:r>
        <w:rPr>
          <w:rFonts w:ascii="Times New Roman" w:hAnsi="Times New Roman"/>
          <w:sz w:val="24"/>
          <w:vertAlign w:val="subscript"/>
        </w:rPr>
        <w:t>1,2…N</w:t>
      </w:r>
      <w:r>
        <w:rPr>
          <w:rFonts w:ascii="Times New Roman" w:hAnsi="Times New Roman"/>
          <w:sz w:val="24"/>
        </w:rPr>
        <w:t>» – число дней работоспособности каждого комплекса ФВФ нарушений ПДД, входящего в состав Объекта Соглашения;</w:t>
      </w:r>
    </w:p>
    <w:p w14:paraId="0EC80C56" w14:textId="77777777" w:rsidR="00AB0B34" w:rsidRDefault="00B432DA">
      <w:pPr>
        <w:pStyle w:val="a6"/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«Число дней в месяце» – количество дней отчетного периода, в котором рассчитывается </w:t>
      </w:r>
      <w:proofErr w:type="spellStart"/>
      <w:r>
        <w:rPr>
          <w:rFonts w:ascii="Times New Roman" w:hAnsi="Times New Roman"/>
          <w:sz w:val="24"/>
        </w:rPr>
        <w:t>SLA</w:t>
      </w:r>
      <w:r>
        <w:rPr>
          <w:rFonts w:ascii="Times New Roman" w:hAnsi="Times New Roman"/>
          <w:sz w:val="24"/>
          <w:vertAlign w:val="subscript"/>
        </w:rPr>
        <w:t>фвф</w:t>
      </w:r>
      <w:proofErr w:type="spellEnd"/>
      <w:r>
        <w:rPr>
          <w:rFonts w:ascii="Times New Roman" w:hAnsi="Times New Roman"/>
          <w:sz w:val="24"/>
        </w:rPr>
        <w:t>.</w:t>
      </w:r>
    </w:p>
    <w:p w14:paraId="2B8E072D" w14:textId="77777777" w:rsidR="00AB0B34" w:rsidRDefault="00B432DA">
      <w:pPr>
        <w:pStyle w:val="a6"/>
        <w:spacing w:before="120" w:after="0" w:line="288" w:lineRule="auto"/>
        <w:ind w:left="1003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N – количество введенных в эксплуатацию комплексов ФВФ.</w:t>
      </w:r>
    </w:p>
    <w:p w14:paraId="02B60B37" w14:textId="77777777" w:rsidR="00AB0B34" w:rsidRDefault="00AB0B34">
      <w:pPr>
        <w:pStyle w:val="a6"/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</w:p>
    <w:p w14:paraId="1CD8E37F" w14:textId="77777777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Критерии работоспособности комплексов ФВФ нарушений ПДД</w:t>
      </w:r>
    </w:p>
    <w:p w14:paraId="479C408D" w14:textId="77777777" w:rsidR="00AB0B34" w:rsidRDefault="00B432DA">
      <w:pPr>
        <w:pStyle w:val="14"/>
        <w:widowControl w:val="0"/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Критерии работоспособности комплексов ФВФ нарушений ПДД определяется по следующим параметрам:</w:t>
      </w:r>
    </w:p>
    <w:p w14:paraId="506541A8" w14:textId="77777777" w:rsidR="00AB0B34" w:rsidRDefault="00B432DA">
      <w:pPr>
        <w:pStyle w:val="a6"/>
        <w:numPr>
          <w:ilvl w:val="0"/>
          <w:numId w:val="2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День работоспособности комплекса ФВФ нарушений ПДД</w:t>
      </w:r>
      <w:r>
        <w:rPr>
          <w:rFonts w:ascii="Times New Roman" w:hAnsi="Times New Roman"/>
          <w:sz w:val="24"/>
        </w:rPr>
        <w:t xml:space="preserve"> - календарный день (24 часа) в отчетном периоде, в течение которого комплекс соответствует заданным критериям работоспособности, либо в отношении которого производятся Восстановительные работы в сроки, установленные пунктом 1.3.2 настоящего Приложения;</w:t>
      </w:r>
    </w:p>
    <w:p w14:paraId="57949B1A" w14:textId="77777777" w:rsidR="00AB0B34" w:rsidRDefault="00B432DA">
      <w:pPr>
        <w:pStyle w:val="a6"/>
        <w:numPr>
          <w:ilvl w:val="0"/>
          <w:numId w:val="2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Неработоспособность комплекса ФВФ нарушений ПДД</w:t>
      </w:r>
      <w:r>
        <w:rPr>
          <w:rFonts w:ascii="Times New Roman" w:hAnsi="Times New Roman"/>
          <w:sz w:val="24"/>
        </w:rPr>
        <w:t xml:space="preserve"> в течение календарного дня (24 часа) - отсутствие данных o зафиксированных проездах транспортных средств (информации о транспортных средствах в зоне контроля) в информационной базе проездов и независимой системе отчетности непрерывно на протяжении 24 часов;</w:t>
      </w:r>
    </w:p>
    <w:p w14:paraId="7B0F22D0" w14:textId="77777777" w:rsidR="00AB0B34" w:rsidRDefault="00B432DA">
      <w:pPr>
        <w:pStyle w:val="a6"/>
        <w:numPr>
          <w:ilvl w:val="0"/>
          <w:numId w:val="2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Отчетный период</w:t>
      </w:r>
      <w:r>
        <w:rPr>
          <w:rFonts w:ascii="Times New Roman" w:hAnsi="Times New Roman"/>
          <w:sz w:val="24"/>
        </w:rPr>
        <w:t xml:space="preserve"> – календарный месяц.</w:t>
      </w:r>
    </w:p>
    <w:p w14:paraId="0EB774C2" w14:textId="77777777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Регламентные и восстановительные работы</w:t>
      </w:r>
    </w:p>
    <w:p w14:paraId="2F06FF3C" w14:textId="77777777" w:rsidR="00AB0B34" w:rsidRDefault="00B432DA">
      <w:pPr>
        <w:pStyle w:val="a6"/>
        <w:numPr>
          <w:ilvl w:val="2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Регламентные работы</w:t>
      </w:r>
    </w:p>
    <w:p w14:paraId="3A7A6296" w14:textId="77777777" w:rsidR="00AB0B34" w:rsidRDefault="00B432DA">
      <w:pPr>
        <w:pStyle w:val="14"/>
        <w:widowControl w:val="0"/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Время регламентных (запланированных заранее и согласованных с </w:t>
      </w:r>
      <w:proofErr w:type="spellStart"/>
      <w:r>
        <w:rPr>
          <w:rFonts w:ascii="Times New Roman" w:hAnsi="Times New Roman"/>
          <w:sz w:val="24"/>
        </w:rPr>
        <w:t>Концедентом</w:t>
      </w:r>
      <w:proofErr w:type="spellEnd"/>
      <w:r>
        <w:rPr>
          <w:rFonts w:ascii="Times New Roman" w:hAnsi="Times New Roman"/>
          <w:sz w:val="24"/>
        </w:rPr>
        <w:t xml:space="preserve">) работ, проведение которых предусмотрено документацией об эксплуатации комплекса </w:t>
      </w:r>
      <w:bookmarkStart w:id="1" w:name="_Hlk80619698"/>
      <w:r>
        <w:rPr>
          <w:rFonts w:ascii="Times New Roman" w:hAnsi="Times New Roman"/>
          <w:sz w:val="24"/>
        </w:rPr>
        <w:t>ФВФ нарушений ПДД</w:t>
      </w:r>
      <w:bookmarkEnd w:id="1"/>
      <w:r>
        <w:rPr>
          <w:rFonts w:ascii="Times New Roman" w:hAnsi="Times New Roman"/>
          <w:sz w:val="24"/>
        </w:rPr>
        <w:t>, а также время проведения работ по поверке оборудования не учитываются для целей определения времени неработоспособности.</w:t>
      </w:r>
    </w:p>
    <w:p w14:paraId="0424DA67" w14:textId="77777777" w:rsidR="00AB0B34" w:rsidRDefault="00B432DA">
      <w:pPr>
        <w:pStyle w:val="14"/>
        <w:widowControl w:val="0"/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Для каждого комплекса ФВФ нарушений ПДД время регламентных работ - не более 30 часов в месяц на один комплекс. </w:t>
      </w:r>
    </w:p>
    <w:p w14:paraId="14DB66F4" w14:textId="77777777" w:rsidR="00AB0B34" w:rsidRDefault="00B432DA">
      <w:pPr>
        <w:pStyle w:val="a6"/>
        <w:numPr>
          <w:ilvl w:val="2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Восстановительные работы</w:t>
      </w:r>
      <w:r>
        <w:rPr>
          <w:rFonts w:ascii="Times New Roman" w:hAnsi="Times New Roman"/>
          <w:sz w:val="24"/>
        </w:rPr>
        <w:t xml:space="preserve"> </w:t>
      </w:r>
    </w:p>
    <w:p w14:paraId="400967B2" w14:textId="36B889CD" w:rsidR="00AB0B34" w:rsidRDefault="00B432DA">
      <w:pPr>
        <w:pStyle w:val="a6"/>
        <w:numPr>
          <w:ilvl w:val="3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Восстановление работоспособности комплекса ФВФ нарушений ПДД в случае наступления неработоспособности по вине 3-х лиц или независящим от Концессионера причинам не учитываются для целей определения времени неработоспособности и осуществляется:</w:t>
      </w:r>
    </w:p>
    <w:p w14:paraId="608B4434" w14:textId="59C46AB6" w:rsidR="008F5C66" w:rsidRDefault="008F5C66" w:rsidP="008F5C66">
      <w:pPr>
        <w:pStyle w:val="a6"/>
        <w:spacing w:before="120" w:after="0" w:line="288" w:lineRule="auto"/>
        <w:ind w:left="709"/>
        <w:contextualSpacing w:val="0"/>
        <w:jc w:val="both"/>
        <w:rPr>
          <w:rFonts w:ascii="Times New Roman" w:hAnsi="Times New Roman"/>
          <w:sz w:val="24"/>
        </w:rPr>
      </w:pPr>
    </w:p>
    <w:p w14:paraId="5F3EB091" w14:textId="77777777" w:rsidR="008F5C66" w:rsidRDefault="008F5C66" w:rsidP="008F5C66">
      <w:pPr>
        <w:pStyle w:val="a6"/>
        <w:spacing w:before="120" w:after="0" w:line="288" w:lineRule="auto"/>
        <w:ind w:left="709"/>
        <w:contextualSpacing w:val="0"/>
        <w:jc w:val="both"/>
        <w:rPr>
          <w:rFonts w:ascii="Times New Roman" w:hAnsi="Times New Roman"/>
          <w:sz w:val="24"/>
        </w:rPr>
      </w:pPr>
    </w:p>
    <w:p w14:paraId="43DBF553" w14:textId="53443EAC" w:rsidR="00AB0B34" w:rsidRDefault="00B432DA">
      <w:pPr>
        <w:numPr>
          <w:ilvl w:val="0"/>
          <w:numId w:val="3"/>
        </w:numPr>
        <w:tabs>
          <w:tab w:val="left" w:pos="1134"/>
        </w:tabs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В течение 5 (</w:t>
      </w:r>
      <w:r w:rsidR="008F5C66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яти) </w:t>
      </w:r>
      <w:r w:rsidR="008F5C66"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sz w:val="24"/>
        </w:rPr>
        <w:t>абочих дней - в случае повреждения только комплекса ФВФ нарушений ПДД (без повреждения крепежных конструкций). Срок восстановления может быть продлён на срок необходимый для проведения процессуальных действий уполномоченными органами государственной власти;</w:t>
      </w:r>
    </w:p>
    <w:p w14:paraId="685F4CF0" w14:textId="27EA883D" w:rsidR="00AB0B34" w:rsidRDefault="00B432DA">
      <w:pPr>
        <w:numPr>
          <w:ilvl w:val="0"/>
          <w:numId w:val="3"/>
        </w:numPr>
        <w:tabs>
          <w:tab w:val="left" w:pos="1134"/>
        </w:tabs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10 (</w:t>
      </w:r>
      <w:r w:rsidR="008F5C66">
        <w:rPr>
          <w:rFonts w:ascii="Times New Roman" w:hAnsi="Times New Roman"/>
          <w:sz w:val="24"/>
        </w:rPr>
        <w:t>д</w:t>
      </w:r>
      <w:r>
        <w:rPr>
          <w:rFonts w:ascii="Times New Roman" w:hAnsi="Times New Roman"/>
          <w:sz w:val="24"/>
        </w:rPr>
        <w:t xml:space="preserve">есять) </w:t>
      </w:r>
      <w:r w:rsidR="008F5C66"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sz w:val="24"/>
        </w:rPr>
        <w:t>абочих дней - в случае повреждения крепежных конструкций, на которых расположен комплекс ФВФ нарушений ПДД (без повреждения искусственных дорожных сооружений);</w:t>
      </w:r>
    </w:p>
    <w:p w14:paraId="2B178096" w14:textId="26D2D325" w:rsidR="00AB0B34" w:rsidRDefault="00B432DA">
      <w:pPr>
        <w:numPr>
          <w:ilvl w:val="0"/>
          <w:numId w:val="3"/>
        </w:numPr>
        <w:tabs>
          <w:tab w:val="left" w:pos="1134"/>
        </w:tabs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30 (</w:t>
      </w:r>
      <w:r w:rsidR="008F5C66"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ридцать) календарных дней - в случае повреждения искусственных дорожных сооружений, на которых расположен комплекс ФВФ нарушений ПДД. При невозможности восстановления комплекса ФВФ нарушений ПДД на поврежденном искусственном дорожном сооружении в указанный срок, осуществляется релокация комплекса ФВФ нарушений ПДД в соответствии с условиями Соглашения;</w:t>
      </w:r>
    </w:p>
    <w:p w14:paraId="3FACB576" w14:textId="77777777" w:rsidR="00AB0B34" w:rsidRDefault="00B432DA">
      <w:pPr>
        <w:numPr>
          <w:ilvl w:val="0"/>
          <w:numId w:val="3"/>
        </w:numPr>
        <w:tabs>
          <w:tab w:val="left" w:pos="1134"/>
        </w:tabs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 срок, который необходим арендодателям каналов связи или поставщикам услуг электроснабжения, для восстановления работоспособности каналов связи, восстановления электроснабжения.</w:t>
      </w:r>
    </w:p>
    <w:p w14:paraId="5FBA47D5" w14:textId="77777777" w:rsidR="00AB0B34" w:rsidRDefault="00B432DA">
      <w:pPr>
        <w:pStyle w:val="14"/>
        <w:widowControl w:val="0"/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Максимальный срок восстановления работоспособности комплекса ФВФ нарушений ПДД в случае наступления неработоспособности по вине третьих лиц продлевается в случае действия обстоятельств, препятствующих безопасному выполнению восстановительных работ, не зависящих от Концессионера, включая, но не ограничиваясь: опасные погодные условия (снижение видимости на дорогах, в том числе в результате образования тумана, снегопада, угрозы схода селей и лавин и иные подобные условия), режим повышенной готовности, чрезвычайное положение и иные обстоятельства, не зависящие от Концессионера, препятствующие безопасному выполнению работ.</w:t>
      </w:r>
    </w:p>
    <w:p w14:paraId="086299AA" w14:textId="77777777" w:rsidR="00AB0B34" w:rsidRDefault="00B432DA">
      <w:pPr>
        <w:pStyle w:val="14"/>
        <w:widowControl w:val="0"/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Под независящими от Концессионера причинами понимается: </w:t>
      </w:r>
    </w:p>
    <w:p w14:paraId="49ADB5B8" w14:textId="77777777" w:rsidR="00AB0B34" w:rsidRDefault="00B432DA">
      <w:pPr>
        <w:numPr>
          <w:ilvl w:val="0"/>
          <w:numId w:val="4"/>
        </w:numPr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Нарушение в работе каналов связи, при условии своевременной оплаты услуг связи;</w:t>
      </w:r>
    </w:p>
    <w:p w14:paraId="28213F11" w14:textId="77777777" w:rsidR="00AB0B34" w:rsidRDefault="00B432DA">
      <w:pPr>
        <w:numPr>
          <w:ilvl w:val="0"/>
          <w:numId w:val="4"/>
        </w:numPr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Нарушение электроснабжения;</w:t>
      </w:r>
    </w:p>
    <w:p w14:paraId="1E7D463F" w14:textId="77777777" w:rsidR="00AB0B34" w:rsidRDefault="00B432DA">
      <w:pPr>
        <w:numPr>
          <w:ilvl w:val="0"/>
          <w:numId w:val="4"/>
        </w:numPr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Вандализм и (или) иные противоправные действия третьих лиц;</w:t>
      </w:r>
    </w:p>
    <w:p w14:paraId="46FC94E9" w14:textId="77777777" w:rsidR="00AB0B34" w:rsidRDefault="00B432DA">
      <w:pPr>
        <w:numPr>
          <w:ilvl w:val="0"/>
          <w:numId w:val="4"/>
        </w:numPr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Повреждение крепёжных или опорных конструкций (опор, мостов, столбов), за исключением случаев связанных с применением некачественных крепёжных материалов, и нарушений, связанных с производством установки и крепления Комплексов;</w:t>
      </w:r>
    </w:p>
    <w:p w14:paraId="62E9870F" w14:textId="00FB0265" w:rsidR="00AB0B34" w:rsidRDefault="00B432DA">
      <w:pPr>
        <w:numPr>
          <w:ilvl w:val="0"/>
          <w:numId w:val="4"/>
        </w:numPr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Осуществление уполномоченными органами государственной власти действий, препятствующий установке и (или) использованию Комплекса, в том числе осуществление следственных и оперативных мероприятий направленных на выявление лиц, совершивших противоправные деяния, отказ или отложение согласования мероприятий, необходимых для организации дорожного движения на период проведения ремонтно-восстановительных работ;</w:t>
      </w:r>
    </w:p>
    <w:p w14:paraId="389788E6" w14:textId="77777777" w:rsidR="008F5C66" w:rsidRDefault="008F5C66" w:rsidP="008F5C66">
      <w:pPr>
        <w:spacing w:before="120" w:after="0" w:line="288" w:lineRule="auto"/>
        <w:ind w:left="709"/>
        <w:jc w:val="both"/>
        <w:rPr>
          <w:rFonts w:ascii="Times New Roman" w:hAnsi="Times New Roman"/>
          <w:sz w:val="24"/>
        </w:rPr>
      </w:pPr>
    </w:p>
    <w:p w14:paraId="33EF312D" w14:textId="77777777" w:rsidR="00AB0B34" w:rsidRDefault="00B432DA">
      <w:pPr>
        <w:numPr>
          <w:ilvl w:val="0"/>
          <w:numId w:val="4"/>
        </w:numPr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Повреждения Комплексов в результате осуществления дорожной деятельности;</w:t>
      </w:r>
    </w:p>
    <w:p w14:paraId="7A3E664F" w14:textId="77777777" w:rsidR="00AB0B34" w:rsidRDefault="00B432DA">
      <w:pPr>
        <w:numPr>
          <w:ilvl w:val="0"/>
          <w:numId w:val="4"/>
        </w:numPr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Наступление Особых Обстоятельств, как установлено условиями Соглашения.</w:t>
      </w:r>
    </w:p>
    <w:p w14:paraId="46E7D22B" w14:textId="77777777" w:rsidR="00AB0B34" w:rsidRDefault="00B432DA">
      <w:pPr>
        <w:pStyle w:val="14"/>
        <w:widowControl w:val="0"/>
        <w:spacing w:before="120" w:after="0" w:line="288" w:lineRule="auto"/>
        <w:ind w:left="0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Наступление обстоятельств, указанных в настоящем пункте 1.3.2.1 фиксируется комиссией, состоящей из представителей Концессионера и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, а при невозможности участия представителя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– актом Концессионера с приложением к нему фото- и видеоматериалов, фиксирующих наличие соответствующих обстоятельств. </w:t>
      </w:r>
    </w:p>
    <w:p w14:paraId="4676A3FF" w14:textId="77777777" w:rsidR="00AB0B34" w:rsidRDefault="00B432DA">
      <w:pPr>
        <w:pStyle w:val="a6"/>
        <w:numPr>
          <w:ilvl w:val="3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Время восстановления работоспособности комплекса ФВФ нарушений ПДД в случае наступления неработоспособности по вине Концессионера или в результате технических неисправностей комплекса не должно превышать 48 часов для каждого комплекса.</w:t>
      </w:r>
    </w:p>
    <w:p w14:paraId="507E4873" w14:textId="5560D4CA" w:rsidR="00AB0B34" w:rsidRDefault="00B432DA">
      <w:pPr>
        <w:pStyle w:val="a6"/>
        <w:numPr>
          <w:ilvl w:val="3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В случае приостановки работы комплекса ФВФ нарушений ПДД по требованию </w:t>
      </w:r>
      <w:r w:rsidR="00025715">
        <w:rPr>
          <w:rFonts w:ascii="Times New Roman" w:hAnsi="Times New Roman"/>
          <w:sz w:val="24"/>
        </w:rPr>
        <w:t>г</w:t>
      </w:r>
      <w:r>
        <w:rPr>
          <w:rFonts w:ascii="Times New Roman" w:hAnsi="Times New Roman"/>
          <w:sz w:val="24"/>
        </w:rPr>
        <w:t>осударственных органов, в том числе на период восстановления утраченных и (или) поврежденных дорожных знаков и дорожной разметки, а также в случае изменения схемы организации дорожного движения, признается работоспособным, если в течение действия обстоятельств, указанных в пункте 1.3.2.3 настоящего Приложения, комплекс ФВФ нарушений ПДД соответствует требованиям указанным в пункте 1.2 настоящего Приложения.</w:t>
      </w:r>
    </w:p>
    <w:p w14:paraId="17AE4350" w14:textId="77777777" w:rsidR="00AB0B34" w:rsidRDefault="00B432DA">
      <w:pPr>
        <w:pStyle w:val="a6"/>
        <w:numPr>
          <w:ilvl w:val="3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При наступлении неработоспособности комплекса ФВФ нарушений ПДД Концессионер по своему усмотрению осуществляет ремонт комплекса ФВФ нарушений ПДД и (или) замену комплекса ФВФ нарушений ПДД на новый аналогичный.</w:t>
      </w:r>
    </w:p>
    <w:p w14:paraId="13591E3F" w14:textId="77777777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Функционирование Объекта Проекта</w:t>
      </w:r>
    </w:p>
    <w:p w14:paraId="5CEA039E" w14:textId="77777777" w:rsidR="00AB0B34" w:rsidRDefault="00B432DA">
      <w:pPr>
        <w:spacing w:before="120" w:after="0" w:line="288" w:lineRule="auto"/>
        <w:ind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Функционирование Объекта Проекта обеспечивается с помощью обмена данными между элементами Объекта Соглашения.</w:t>
      </w:r>
    </w:p>
    <w:p w14:paraId="1899AF19" w14:textId="77777777" w:rsidR="00AB0B34" w:rsidRDefault="00B432DA">
      <w:pPr>
        <w:spacing w:before="120" w:after="0" w:line="288" w:lineRule="auto"/>
        <w:ind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Пропускная способность каналов связи, обеспечивающих обмен данными, должна быть достаточной для обеспечения гарантированной передачи данных в соответствии с требованиями Приложения № 3 и Проектной Документации. </w:t>
      </w:r>
    </w:p>
    <w:p w14:paraId="5ADF1EBB" w14:textId="77777777" w:rsidR="00AB0B34" w:rsidRDefault="00B432DA">
      <w:pPr>
        <w:spacing w:before="120" w:after="0" w:line="288" w:lineRule="auto"/>
        <w:ind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Передача данных должна быть бесперебойной в круглосуточном ежедневном режиме (24 часа в сутки, 7 дней в неделю) - при условии наличия работающих каналов связи.</w:t>
      </w:r>
    </w:p>
    <w:p w14:paraId="3CAAE52B" w14:textId="77777777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Качество эксплуатации программного обеспечения</w:t>
      </w:r>
    </w:p>
    <w:p w14:paraId="0326786B" w14:textId="77777777" w:rsidR="00AB0B34" w:rsidRDefault="00B432DA">
      <w:pPr>
        <w:spacing w:before="120" w:after="0" w:line="288" w:lineRule="auto"/>
        <w:ind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Уровень эксплуатационной доступности программного обеспечения (объектов информационных технологий) в составе Объекта Соглашения рассчитывается ежемесячно и определяется как отношение времени доступности основного функционала объекта информационных технологий, определенного в Проектной Документации, к плановому времени работы программного обеспечения в отчетном периоде по формуле:</w:t>
      </w:r>
    </w:p>
    <w:p w14:paraId="75E65385" w14:textId="77777777" w:rsidR="00AB0B34" w:rsidRDefault="009D26E5">
      <w:pPr>
        <w:spacing w:before="120" w:after="0" w:line="288" w:lineRule="auto"/>
        <w:ind w:firstLine="709"/>
        <w:jc w:val="both"/>
        <w:rPr>
          <w:rFonts w:ascii="Times New Roman" w:hAnsi="Times New Roman"/>
          <w:sz w:val="24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SLA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>ПО</m:t>
            </m:r>
          </m:sub>
        </m:sSub>
        <m:r>
          <w:rPr>
            <w:rFonts w:ascii="Cambria Math" w:hAnsi="Cambria Math"/>
            <w:sz w:val="24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доступ</m:t>
                </m:r>
              </m:sub>
            </m:sSub>
            <m:r>
              <w:rPr>
                <w:rFonts w:ascii="Cambria Math" w:hAnsi="Cambria Math"/>
                <w:sz w:val="24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регламент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план</m:t>
                </m:r>
              </m:sub>
            </m:sSub>
          </m:den>
        </m:f>
        <m:r>
          <w:rPr>
            <w:rFonts w:ascii="Cambria Math" w:hAnsi="Cambria Math"/>
            <w:sz w:val="24"/>
          </w:rPr>
          <m:t>*100%</m:t>
        </m:r>
      </m:oMath>
      <w:r w:rsidR="00B432DA">
        <w:rPr>
          <w:rFonts w:ascii="Times New Roman" w:hAnsi="Times New Roman"/>
          <w:i/>
          <w:sz w:val="24"/>
        </w:rPr>
        <w:t xml:space="preserve"> ,</w:t>
      </w:r>
      <w:r w:rsidR="00B432DA">
        <w:rPr>
          <w:rFonts w:ascii="Times New Roman" w:hAnsi="Times New Roman"/>
          <w:sz w:val="24"/>
        </w:rPr>
        <w:t>где</w:t>
      </w:r>
    </w:p>
    <w:p w14:paraId="201F0D6E" w14:textId="77777777" w:rsidR="00AB0B34" w:rsidRDefault="00B432DA">
      <w:pPr>
        <w:spacing w:before="120" w:after="0" w:line="288" w:lineRule="auto"/>
        <w:ind w:firstLine="709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sz w:val="24"/>
        </w:rPr>
        <w:lastRenderedPageBreak/>
        <w:t>SLA</w:t>
      </w:r>
      <w:r>
        <w:rPr>
          <w:rFonts w:ascii="Times New Roman" w:hAnsi="Times New Roman"/>
          <w:b/>
          <w:sz w:val="24"/>
          <w:vertAlign w:val="subscript"/>
        </w:rPr>
        <w:t>по</w:t>
      </w:r>
      <w:proofErr w:type="spellEnd"/>
      <w:r>
        <w:rPr>
          <w:rFonts w:ascii="Times New Roman" w:hAnsi="Times New Roman"/>
          <w:b/>
          <w:sz w:val="24"/>
        </w:rPr>
        <w:t xml:space="preserve"> – </w:t>
      </w:r>
      <w:r>
        <w:rPr>
          <w:rFonts w:ascii="Times New Roman" w:hAnsi="Times New Roman"/>
          <w:sz w:val="24"/>
        </w:rPr>
        <w:t>уровень эксплуатационной доступности программного обеспечения;</w:t>
      </w:r>
    </w:p>
    <w:p w14:paraId="625305F5" w14:textId="77777777" w:rsidR="00AB0B34" w:rsidRDefault="00B432DA">
      <w:pPr>
        <w:spacing w:before="120" w:after="0" w:line="288" w:lineRule="auto"/>
        <w:ind w:firstLine="709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sz w:val="24"/>
        </w:rPr>
        <w:t>T</w:t>
      </w:r>
      <w:r>
        <w:rPr>
          <w:rFonts w:ascii="Times New Roman" w:hAnsi="Times New Roman"/>
          <w:b/>
          <w:sz w:val="24"/>
          <w:vertAlign w:val="subscript"/>
        </w:rPr>
        <w:t>доступ</w:t>
      </w:r>
      <w:proofErr w:type="spellEnd"/>
      <w:r>
        <w:rPr>
          <w:rFonts w:ascii="Times New Roman" w:hAnsi="Times New Roman"/>
          <w:b/>
          <w:sz w:val="24"/>
        </w:rPr>
        <w:t xml:space="preserve"> – </w:t>
      </w:r>
      <w:r>
        <w:rPr>
          <w:rFonts w:ascii="Times New Roman" w:hAnsi="Times New Roman"/>
          <w:sz w:val="24"/>
        </w:rPr>
        <w:t>время фактической доступности основного функционала программного обеспечения по данным независимой системы отчетности в часах;</w:t>
      </w:r>
    </w:p>
    <w:p w14:paraId="26186F68" w14:textId="77777777" w:rsidR="00AB0B34" w:rsidRDefault="00B432DA">
      <w:pPr>
        <w:spacing w:before="120" w:after="0" w:line="288" w:lineRule="auto"/>
        <w:ind w:firstLine="709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sz w:val="24"/>
        </w:rPr>
        <w:t>T</w:t>
      </w:r>
      <w:r>
        <w:rPr>
          <w:rFonts w:ascii="Times New Roman" w:hAnsi="Times New Roman"/>
          <w:b/>
          <w:sz w:val="24"/>
          <w:vertAlign w:val="subscript"/>
        </w:rPr>
        <w:t>регламент</w:t>
      </w:r>
      <w:proofErr w:type="spellEnd"/>
      <w:r>
        <w:rPr>
          <w:rFonts w:ascii="Times New Roman" w:hAnsi="Times New Roman"/>
          <w:b/>
          <w:sz w:val="24"/>
        </w:rPr>
        <w:t xml:space="preserve"> – </w:t>
      </w:r>
      <w:r>
        <w:rPr>
          <w:rFonts w:ascii="Times New Roman" w:hAnsi="Times New Roman"/>
          <w:sz w:val="24"/>
        </w:rPr>
        <w:t>фактическое время проведения регламентных и восстановительных работ, не превышающее 8 часов в месяц, если меньшее значение не установлено в Проектной Документации;</w:t>
      </w:r>
    </w:p>
    <w:p w14:paraId="1276B5BC" w14:textId="77777777" w:rsidR="00AB0B34" w:rsidRDefault="00B432DA">
      <w:pPr>
        <w:spacing w:before="120" w:after="0" w:line="288" w:lineRule="auto"/>
        <w:ind w:firstLine="709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sz w:val="24"/>
        </w:rPr>
        <w:t>T</w:t>
      </w:r>
      <w:r>
        <w:rPr>
          <w:rFonts w:ascii="Times New Roman" w:hAnsi="Times New Roman"/>
          <w:b/>
          <w:sz w:val="24"/>
          <w:vertAlign w:val="subscript"/>
        </w:rPr>
        <w:t>план</w:t>
      </w:r>
      <w:proofErr w:type="spellEnd"/>
      <w:r>
        <w:rPr>
          <w:rFonts w:ascii="Times New Roman" w:hAnsi="Times New Roman"/>
          <w:b/>
          <w:sz w:val="24"/>
        </w:rPr>
        <w:t xml:space="preserve"> – </w:t>
      </w:r>
      <w:r>
        <w:rPr>
          <w:rFonts w:ascii="Times New Roman" w:hAnsi="Times New Roman"/>
          <w:sz w:val="24"/>
        </w:rPr>
        <w:t>Плановое время доступности программного обеспечения в часах, определяемое в соответствии с Проектной Документацией.</w:t>
      </w:r>
    </w:p>
    <w:p w14:paraId="6F26B5AD" w14:textId="77777777" w:rsidR="00AB0B34" w:rsidRDefault="00B432DA">
      <w:pPr>
        <w:pStyle w:val="a6"/>
        <w:numPr>
          <w:ilvl w:val="0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Штрафы</w:t>
      </w:r>
    </w:p>
    <w:p w14:paraId="3B149985" w14:textId="250E9142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sz w:val="24"/>
        </w:rPr>
        <w:t xml:space="preserve">Порядок начисления </w:t>
      </w:r>
      <w:r w:rsidR="0002571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трафных </w:t>
      </w:r>
      <w:r w:rsidR="00025715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аллов, а также расчета и удержания </w:t>
      </w:r>
      <w:r w:rsidR="0002571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>трафов за случаи неисполнения или ненадлежащего исполнения Концессионером своих обязательств по Соглашению, указаны в настоящем Приложении.</w:t>
      </w:r>
    </w:p>
    <w:p w14:paraId="20525DE8" w14:textId="3EAABFA2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Денежный эквивалент 1 (одного) </w:t>
      </w:r>
      <w:r w:rsidR="0002571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трафного </w:t>
      </w:r>
      <w:r w:rsidR="00025715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алла равен 0,001% (ноль целых одна тысячная процента) от размера </w:t>
      </w:r>
      <w:r w:rsidR="00025715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за </w:t>
      </w:r>
      <w:r w:rsidR="00025715"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sz w:val="24"/>
        </w:rPr>
        <w:t xml:space="preserve">асчетный </w:t>
      </w:r>
      <w:r w:rsidR="00025715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>ериод.</w:t>
      </w:r>
    </w:p>
    <w:p w14:paraId="12E957EA" w14:textId="16E5ACC0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Общий размер </w:t>
      </w:r>
      <w:r w:rsidR="0002571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трафа, подлежащего удержанию из </w:t>
      </w:r>
      <w:r w:rsidR="00025715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, определяется путем умножения общего количества начисленных </w:t>
      </w:r>
      <w:r w:rsidR="0002571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трафных </w:t>
      </w:r>
      <w:r w:rsidR="00025715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аллов на денежный эквивалент одного </w:t>
      </w:r>
      <w:r w:rsidR="0002571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трафного </w:t>
      </w:r>
      <w:r w:rsidR="00025715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алла на момент уведомления </w:t>
      </w:r>
      <w:proofErr w:type="spellStart"/>
      <w:r>
        <w:rPr>
          <w:rFonts w:ascii="Times New Roman" w:hAnsi="Times New Roman"/>
          <w:sz w:val="24"/>
        </w:rPr>
        <w:t>Концедентом</w:t>
      </w:r>
      <w:proofErr w:type="spellEnd"/>
      <w:r>
        <w:rPr>
          <w:rFonts w:ascii="Times New Roman" w:hAnsi="Times New Roman"/>
          <w:sz w:val="24"/>
        </w:rPr>
        <w:t xml:space="preserve"> Концессионера о выявленном нарушении.</w:t>
      </w:r>
    </w:p>
    <w:p w14:paraId="1CDE5C30" w14:textId="67E80B43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Для целей начисления </w:t>
      </w:r>
      <w:r w:rsidR="0002571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трафных </w:t>
      </w:r>
      <w:r w:rsidR="00025715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аллов отчетным периодом признается календарный квартал.</w:t>
      </w:r>
    </w:p>
    <w:p w14:paraId="19836F69" w14:textId="14ACFC6D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Штрафные </w:t>
      </w:r>
      <w:r w:rsidR="00025715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аллы не начисляются Концессионеру за нарушения, которые были вызваны действием или бездействием третьего лица, не являющегося Лицом, </w:t>
      </w:r>
      <w:r w:rsidR="00025715">
        <w:rPr>
          <w:rFonts w:ascii="Times New Roman" w:hAnsi="Times New Roman"/>
          <w:sz w:val="24"/>
        </w:rPr>
        <w:t>о</w:t>
      </w:r>
      <w:r>
        <w:rPr>
          <w:rFonts w:ascii="Times New Roman" w:hAnsi="Times New Roman"/>
          <w:sz w:val="24"/>
        </w:rPr>
        <w:t xml:space="preserve">тносящимся к Концессионеру, неисполнением или ненадлежащим исполнением </w:t>
      </w:r>
      <w:proofErr w:type="spellStart"/>
      <w:r>
        <w:rPr>
          <w:rFonts w:ascii="Times New Roman" w:hAnsi="Times New Roman"/>
          <w:sz w:val="24"/>
        </w:rPr>
        <w:t>Концедентом</w:t>
      </w:r>
      <w:proofErr w:type="spellEnd"/>
      <w:r>
        <w:rPr>
          <w:rFonts w:ascii="Times New Roman" w:hAnsi="Times New Roman"/>
          <w:sz w:val="24"/>
        </w:rPr>
        <w:t xml:space="preserve"> его обязательств по Соглашению, возникли вследствие действия Особых Обстоятельств или </w:t>
      </w:r>
      <w:r w:rsidR="00025715">
        <w:rPr>
          <w:rFonts w:ascii="Times New Roman" w:hAnsi="Times New Roman"/>
          <w:sz w:val="24"/>
        </w:rPr>
        <w:t>о</w:t>
      </w:r>
      <w:r>
        <w:rPr>
          <w:rFonts w:ascii="Times New Roman" w:hAnsi="Times New Roman"/>
          <w:sz w:val="24"/>
        </w:rPr>
        <w:t xml:space="preserve">бстоятельств </w:t>
      </w:r>
      <w:r w:rsidR="00025715">
        <w:rPr>
          <w:rFonts w:ascii="Times New Roman" w:hAnsi="Times New Roman"/>
          <w:sz w:val="24"/>
        </w:rPr>
        <w:t>н</w:t>
      </w:r>
      <w:r>
        <w:rPr>
          <w:rFonts w:ascii="Times New Roman" w:hAnsi="Times New Roman"/>
          <w:sz w:val="24"/>
        </w:rPr>
        <w:t xml:space="preserve">епреодолимой </w:t>
      </w:r>
      <w:r w:rsidR="00025715"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 xml:space="preserve">илы либо в иных случаях, предусмотренными Соглашением. В случае, если какой-либо случай неисполнения или ненадлежащего исполнения Концессионером своих обязательств по Соглашению согласно положениям настоящего Приложения может быть квалифицирован в качестве более чем одного нарушения, </w:t>
      </w:r>
      <w:r w:rsidR="0002571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трафные </w:t>
      </w:r>
      <w:r w:rsidR="00025715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аллы начисляются только за одно нарушение (по выбору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>).</w:t>
      </w:r>
    </w:p>
    <w:p w14:paraId="6255DE0B" w14:textId="3D78E16A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За исключением права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на расторжение Соглашения, </w:t>
      </w:r>
      <w:r w:rsidR="0002571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трафы являются исключительным и единственным видом возмещения, взимаемым с Концессионера </w:t>
      </w:r>
      <w:proofErr w:type="spellStart"/>
      <w:r>
        <w:rPr>
          <w:rFonts w:ascii="Times New Roman" w:hAnsi="Times New Roman"/>
          <w:sz w:val="24"/>
        </w:rPr>
        <w:t>Концедентом</w:t>
      </w:r>
      <w:proofErr w:type="spellEnd"/>
      <w:r>
        <w:rPr>
          <w:rFonts w:ascii="Times New Roman" w:hAnsi="Times New Roman"/>
          <w:sz w:val="24"/>
        </w:rPr>
        <w:t xml:space="preserve"> за нарушения, указанные в настоящем Приложении.</w:t>
      </w:r>
    </w:p>
    <w:p w14:paraId="1334301A" w14:textId="44FF79F9" w:rsidR="00AB0B34" w:rsidRDefault="00B432DA">
      <w:pPr>
        <w:pStyle w:val="a6"/>
        <w:numPr>
          <w:ilvl w:val="0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Начисление </w:t>
      </w:r>
      <w:r w:rsidR="00025715">
        <w:rPr>
          <w:rFonts w:ascii="Times New Roman" w:hAnsi="Times New Roman"/>
          <w:b/>
          <w:sz w:val="24"/>
        </w:rPr>
        <w:t>ш</w:t>
      </w:r>
      <w:r>
        <w:rPr>
          <w:rFonts w:ascii="Times New Roman" w:hAnsi="Times New Roman"/>
          <w:b/>
          <w:sz w:val="24"/>
        </w:rPr>
        <w:t xml:space="preserve">трафных </w:t>
      </w:r>
      <w:r w:rsidR="00025715">
        <w:rPr>
          <w:rFonts w:ascii="Times New Roman" w:hAnsi="Times New Roman"/>
          <w:b/>
          <w:sz w:val="24"/>
        </w:rPr>
        <w:t>б</w:t>
      </w:r>
      <w:r>
        <w:rPr>
          <w:rFonts w:ascii="Times New Roman" w:hAnsi="Times New Roman"/>
          <w:b/>
          <w:sz w:val="24"/>
        </w:rPr>
        <w:t xml:space="preserve">аллов и удержание </w:t>
      </w:r>
      <w:r w:rsidR="00025715">
        <w:rPr>
          <w:rFonts w:ascii="Times New Roman" w:hAnsi="Times New Roman"/>
          <w:b/>
          <w:sz w:val="24"/>
        </w:rPr>
        <w:t>ш</w:t>
      </w:r>
      <w:r>
        <w:rPr>
          <w:rFonts w:ascii="Times New Roman" w:hAnsi="Times New Roman"/>
          <w:b/>
          <w:sz w:val="24"/>
        </w:rPr>
        <w:t>трафов</w:t>
      </w:r>
    </w:p>
    <w:p w14:paraId="542622B2" w14:textId="7B997CE4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За каждое нарушение подлежит начислению только то количество </w:t>
      </w:r>
      <w:r w:rsidR="0002571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трафных </w:t>
      </w:r>
      <w:r w:rsidR="00025715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аллов, которое указано в соответствующей настоящем Приложении к Соглашению.</w:t>
      </w:r>
    </w:p>
    <w:p w14:paraId="560DEAEB" w14:textId="4E6025CD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За каждое нарушение </w:t>
      </w:r>
      <w:r w:rsidR="0002571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трафные </w:t>
      </w:r>
      <w:r w:rsidR="00025715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аллы начисляются один раз.</w:t>
      </w:r>
    </w:p>
    <w:p w14:paraId="6EFA148E" w14:textId="5178ED11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При выявлении нарушения </w:t>
      </w:r>
      <w:proofErr w:type="spellStart"/>
      <w:r>
        <w:rPr>
          <w:rFonts w:ascii="Times New Roman" w:hAnsi="Times New Roman"/>
          <w:sz w:val="24"/>
        </w:rPr>
        <w:t>Концедент</w:t>
      </w:r>
      <w:proofErr w:type="spellEnd"/>
      <w:r>
        <w:rPr>
          <w:rFonts w:ascii="Times New Roman" w:hAnsi="Times New Roman"/>
          <w:sz w:val="24"/>
        </w:rPr>
        <w:t xml:space="preserve"> направляет Концессионеру уведомление о наличии соответствующего нарушения с описанием каждого факта и всех </w:t>
      </w:r>
      <w:r>
        <w:rPr>
          <w:rFonts w:ascii="Times New Roman" w:hAnsi="Times New Roman"/>
          <w:sz w:val="24"/>
        </w:rPr>
        <w:lastRenderedPageBreak/>
        <w:t xml:space="preserve">существенных обстоятельств (места, времени, и т.д.) нарушения, а также с указанием количества </w:t>
      </w:r>
      <w:r w:rsidR="00E71837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трафных </w:t>
      </w:r>
      <w:r w:rsidR="00E71837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аллов, подлежащих начислению, и соответствующей начисляемым </w:t>
      </w:r>
      <w:r w:rsidR="00E71837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трафным </w:t>
      </w:r>
      <w:r w:rsidR="00E71837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аллам суммы </w:t>
      </w:r>
      <w:r w:rsidR="00C4176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трафа, подлежащей удержанию из </w:t>
      </w:r>
      <w:r w:rsidR="00C41765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(в каждом случае с приложением расчета).</w:t>
      </w:r>
    </w:p>
    <w:p w14:paraId="0AF38DF7" w14:textId="7A7BBFB9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 течение 10 (</w:t>
      </w:r>
      <w:r w:rsidR="00C41765">
        <w:rPr>
          <w:rFonts w:ascii="Times New Roman" w:hAnsi="Times New Roman"/>
          <w:sz w:val="24"/>
        </w:rPr>
        <w:t>д</w:t>
      </w:r>
      <w:r>
        <w:rPr>
          <w:rFonts w:ascii="Times New Roman" w:hAnsi="Times New Roman"/>
          <w:sz w:val="24"/>
        </w:rPr>
        <w:t xml:space="preserve">есяти) </w:t>
      </w:r>
      <w:r w:rsidR="00C41765"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sz w:val="24"/>
        </w:rPr>
        <w:t xml:space="preserve">абочих дней с момента получения уведомления о нарушении Концессионер вправе заявить возражение против наличия нарушения и (или) начисления </w:t>
      </w:r>
      <w:r w:rsidR="00C4176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трафных </w:t>
      </w:r>
      <w:r w:rsidR="00C41765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аллов и (или) количества начисленных </w:t>
      </w:r>
      <w:r w:rsidR="00C4176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трафных </w:t>
      </w:r>
      <w:r w:rsidR="00C41765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аллов и (или) суммы удерживаемых </w:t>
      </w:r>
      <w:r w:rsidR="00C4176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трафов. Если </w:t>
      </w:r>
      <w:proofErr w:type="spellStart"/>
      <w:r>
        <w:rPr>
          <w:rFonts w:ascii="Times New Roman" w:hAnsi="Times New Roman"/>
          <w:sz w:val="24"/>
        </w:rPr>
        <w:t>Концедент</w:t>
      </w:r>
      <w:proofErr w:type="spellEnd"/>
      <w:r>
        <w:rPr>
          <w:rFonts w:ascii="Times New Roman" w:hAnsi="Times New Roman"/>
          <w:sz w:val="24"/>
        </w:rPr>
        <w:t xml:space="preserve"> и Концессионер не смогут достичь согласия по любому такому вопросу в течение 10 (Десяти) Рабочих дней после заявления Концессионером соответствующего возражения, то любая из Сторон вправе передать </w:t>
      </w:r>
      <w:r w:rsidR="00C41765"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 xml:space="preserve">пор на рассмотрение в соответствии с </w:t>
      </w:r>
      <w:r w:rsidR="00C41765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орядком </w:t>
      </w:r>
      <w:r w:rsidR="00C41765"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sz w:val="24"/>
        </w:rPr>
        <w:t xml:space="preserve">азрешения </w:t>
      </w:r>
      <w:r w:rsidR="00C41765"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 xml:space="preserve">поров и соответствующие </w:t>
      </w:r>
      <w:r w:rsidR="00C4176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трафные </w:t>
      </w:r>
      <w:r w:rsidR="00C41765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аллы не будут считаться начисленными, а </w:t>
      </w:r>
      <w:r w:rsidR="00C4176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трафы - подлежащими удержанию из </w:t>
      </w:r>
      <w:r w:rsidR="00C41765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, до вступления в силу решения, принятого в </w:t>
      </w:r>
      <w:r w:rsidR="00C41765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орядке Разрешения </w:t>
      </w:r>
      <w:r w:rsidR="00C41765"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поров.</w:t>
      </w:r>
    </w:p>
    <w:p w14:paraId="3C99F24E" w14:textId="0A2A4129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За исключением случая, когда Концессионер оспаривает уведомление о нарушении в порядке, установленном пунктом 10, Стороны обязаны подписать акт, фиксирующий сумму начисленных </w:t>
      </w:r>
      <w:r w:rsidR="00C4176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трафных </w:t>
      </w:r>
      <w:r w:rsidR="00C41765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аллов и удерживаемых </w:t>
      </w:r>
      <w:r w:rsidR="00C4176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>трафов в течение 10 (</w:t>
      </w:r>
      <w:r w:rsidR="00C41765">
        <w:rPr>
          <w:rFonts w:ascii="Times New Roman" w:hAnsi="Times New Roman"/>
          <w:sz w:val="24"/>
        </w:rPr>
        <w:t>д</w:t>
      </w:r>
      <w:r>
        <w:rPr>
          <w:rFonts w:ascii="Times New Roman" w:hAnsi="Times New Roman"/>
          <w:sz w:val="24"/>
        </w:rPr>
        <w:t xml:space="preserve">есяти) </w:t>
      </w:r>
      <w:r w:rsidR="00C41765"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sz w:val="24"/>
        </w:rPr>
        <w:t>абочих дней с момента получения Концессионером уведомления о нарушении.</w:t>
      </w:r>
    </w:p>
    <w:p w14:paraId="78F16F4D" w14:textId="4A06DDF5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Штрафные </w:t>
      </w:r>
      <w:r w:rsidR="00C41765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аллы считаются начисленными для целей удержания </w:t>
      </w:r>
      <w:r w:rsidR="00C4176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трафов из </w:t>
      </w:r>
      <w:r w:rsidR="00C41765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, уплачиваемой </w:t>
      </w:r>
      <w:proofErr w:type="spellStart"/>
      <w:r>
        <w:rPr>
          <w:rFonts w:ascii="Times New Roman" w:hAnsi="Times New Roman"/>
          <w:sz w:val="24"/>
        </w:rPr>
        <w:t>Концедентом</w:t>
      </w:r>
      <w:proofErr w:type="spellEnd"/>
      <w:r>
        <w:rPr>
          <w:rFonts w:ascii="Times New Roman" w:hAnsi="Times New Roman"/>
          <w:sz w:val="24"/>
        </w:rPr>
        <w:t xml:space="preserve"> в порядке, установленном Соглашением с момента: (а) подписания Сторонами акта о начислении штрафа, либо (б) вступления в силу акта, которым разрешилось рассмотрение </w:t>
      </w:r>
      <w:r w:rsidR="00C41765"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пора по существу в соответствии с пунктом 3.4 настоящего Приложения к Соглашению.</w:t>
      </w:r>
    </w:p>
    <w:p w14:paraId="6147DC6D" w14:textId="3BCF8DA7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Суммы </w:t>
      </w:r>
      <w:r w:rsidR="00C4176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трафов, рассчитанные на основании начисленных </w:t>
      </w:r>
      <w:r w:rsidR="00C4176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трафных </w:t>
      </w:r>
      <w:r w:rsidR="00C41765"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аллов, подлежат удержанию из </w:t>
      </w:r>
      <w:r w:rsidR="00C41765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. </w:t>
      </w:r>
    </w:p>
    <w:p w14:paraId="1CE01A64" w14:textId="01DFD973" w:rsidR="00AB0B34" w:rsidRDefault="00B432DA">
      <w:pPr>
        <w:pStyle w:val="a6"/>
        <w:numPr>
          <w:ilvl w:val="1"/>
          <w:numId w:val="1"/>
        </w:numPr>
        <w:spacing w:before="120" w:after="0" w:line="288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Штрафы, которые не были удержаны из </w:t>
      </w:r>
      <w:r w:rsidR="00C41765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на Дату Прекращения Соглашения, подлежат уплате Концессионером </w:t>
      </w:r>
      <w:proofErr w:type="spellStart"/>
      <w:r>
        <w:rPr>
          <w:rFonts w:ascii="Times New Roman" w:hAnsi="Times New Roman"/>
          <w:sz w:val="24"/>
        </w:rPr>
        <w:t>Концеденту</w:t>
      </w:r>
      <w:proofErr w:type="spellEnd"/>
      <w:r>
        <w:rPr>
          <w:rFonts w:ascii="Times New Roman" w:hAnsi="Times New Roman"/>
          <w:sz w:val="24"/>
        </w:rPr>
        <w:t xml:space="preserve"> в согласованный Сторонами срок или, если такой срок не согласован, не позднее 60 (</w:t>
      </w:r>
      <w:r w:rsidR="00C41765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естидесяти) календарных дней после </w:t>
      </w:r>
      <w:r w:rsidR="00C41765">
        <w:rPr>
          <w:rFonts w:ascii="Times New Roman" w:hAnsi="Times New Roman"/>
          <w:sz w:val="24"/>
        </w:rPr>
        <w:t>дня</w:t>
      </w:r>
      <w:r>
        <w:rPr>
          <w:rFonts w:ascii="Times New Roman" w:hAnsi="Times New Roman"/>
          <w:sz w:val="24"/>
        </w:rPr>
        <w:t xml:space="preserve"> </w:t>
      </w:r>
      <w:r w:rsidR="00C41765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>рекращения Соглашения.</w:t>
      </w:r>
    </w:p>
    <w:p w14:paraId="5C612B2B" w14:textId="77777777" w:rsidR="00AB0B34" w:rsidRDefault="00AB0B34">
      <w:pPr>
        <w:spacing w:after="0" w:line="288" w:lineRule="auto"/>
        <w:jc w:val="both"/>
        <w:rPr>
          <w:rFonts w:ascii="Times New Roman" w:hAnsi="Times New Roman"/>
          <w:sz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0"/>
        <w:gridCol w:w="6020"/>
        <w:gridCol w:w="2735"/>
      </w:tblGrid>
      <w:tr w:rsidR="00AB0B34" w14:paraId="4D83F300" w14:textId="77777777">
        <w:trPr>
          <w:tblHeader/>
        </w:trPr>
        <w:tc>
          <w:tcPr>
            <w:tcW w:w="600" w:type="dxa"/>
            <w:tcBorders>
              <w:bottom w:val="single" w:sz="4" w:space="0" w:color="000000"/>
            </w:tcBorders>
            <w:vAlign w:val="center"/>
          </w:tcPr>
          <w:p w14:paraId="16C1FD58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jc w:val="center"/>
              <w:rPr>
                <w:rStyle w:val="FontStyle1000"/>
                <w:rFonts w:ascii="Times New Roman" w:hAnsi="Times New Roman"/>
                <w:b/>
                <w:sz w:val="24"/>
              </w:rPr>
            </w:pPr>
            <w:r>
              <w:rPr>
                <w:rStyle w:val="FontStyle1000"/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6020" w:type="dxa"/>
            <w:tcBorders>
              <w:bottom w:val="single" w:sz="4" w:space="0" w:color="000000"/>
            </w:tcBorders>
            <w:vAlign w:val="center"/>
          </w:tcPr>
          <w:p w14:paraId="2B20E1F3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ind w:left="284"/>
              <w:jc w:val="center"/>
              <w:rPr>
                <w:rStyle w:val="FontStyle1000"/>
                <w:rFonts w:ascii="Times New Roman" w:hAnsi="Times New Roman"/>
                <w:b/>
                <w:sz w:val="24"/>
              </w:rPr>
            </w:pPr>
            <w:r>
              <w:rPr>
                <w:rStyle w:val="FontStyle1000"/>
                <w:rFonts w:ascii="Times New Roman" w:hAnsi="Times New Roman"/>
                <w:b/>
                <w:sz w:val="24"/>
              </w:rPr>
              <w:t>Нарушение</w:t>
            </w:r>
          </w:p>
        </w:tc>
        <w:tc>
          <w:tcPr>
            <w:tcW w:w="2735" w:type="dxa"/>
            <w:tcBorders>
              <w:bottom w:val="single" w:sz="4" w:space="0" w:color="000000"/>
            </w:tcBorders>
            <w:vAlign w:val="center"/>
          </w:tcPr>
          <w:p w14:paraId="2788FDF9" w14:textId="0A7AB6E0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0"/>
                <w:rFonts w:ascii="Times New Roman" w:hAnsi="Times New Roman"/>
                <w:b/>
                <w:sz w:val="24"/>
              </w:rPr>
            </w:pPr>
            <w:r>
              <w:rPr>
                <w:rStyle w:val="FontStyle1000"/>
                <w:rFonts w:ascii="Times New Roman" w:hAnsi="Times New Roman"/>
                <w:b/>
                <w:sz w:val="24"/>
              </w:rPr>
              <w:t xml:space="preserve">Кол-во начисляемых </w:t>
            </w:r>
            <w:r w:rsidR="00C41765">
              <w:rPr>
                <w:rStyle w:val="FontStyle1000"/>
                <w:rFonts w:ascii="Times New Roman" w:hAnsi="Times New Roman"/>
                <w:b/>
                <w:sz w:val="24"/>
              </w:rPr>
              <w:t>ш</w:t>
            </w:r>
            <w:r>
              <w:rPr>
                <w:rStyle w:val="FontStyle1000"/>
                <w:rFonts w:ascii="Times New Roman" w:hAnsi="Times New Roman"/>
                <w:b/>
                <w:sz w:val="24"/>
              </w:rPr>
              <w:t>трафных Баллов</w:t>
            </w:r>
          </w:p>
        </w:tc>
      </w:tr>
      <w:tr w:rsidR="00AB0B34" w14:paraId="6DEE88AB" w14:textId="77777777">
        <w:tc>
          <w:tcPr>
            <w:tcW w:w="9355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A0E3405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0"/>
                <w:rFonts w:ascii="Times New Roman" w:hAnsi="Times New Roman"/>
                <w:b/>
                <w:sz w:val="24"/>
              </w:rPr>
            </w:pPr>
            <w:r>
              <w:rPr>
                <w:rStyle w:val="FontStyle1000"/>
                <w:rFonts w:ascii="Times New Roman" w:hAnsi="Times New Roman"/>
                <w:b/>
                <w:sz w:val="24"/>
              </w:rPr>
              <w:t>Нарушения, относящиеся к обязательствам Концессионера по выполнению показателей эффективности деятельности Концессионера, предусмотренных Приложением № 8 к Соглашению</w:t>
            </w:r>
          </w:p>
        </w:tc>
      </w:tr>
      <w:tr w:rsidR="00AB0B34" w14:paraId="5A3C71DB" w14:textId="77777777"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 w14:paraId="72FDF4B0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1.</w:t>
            </w:r>
          </w:p>
        </w:tc>
        <w:tc>
          <w:tcPr>
            <w:tcW w:w="6020" w:type="dxa"/>
            <w:tcBorders>
              <w:top w:val="single" w:sz="4" w:space="0" w:color="000000"/>
            </w:tcBorders>
            <w:vAlign w:val="center"/>
          </w:tcPr>
          <w:p w14:paraId="13A10BC9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Значение «</w:t>
            </w:r>
            <w:r>
              <w:rPr>
                <w:rFonts w:ascii="Times New Roman" w:hAnsi="Times New Roman"/>
                <w:sz w:val="24"/>
              </w:rPr>
              <w:t>Показатель уровня эксплуатационной доступности комплексов ФВФ нарушений ПДД»</w:t>
            </w:r>
            <w:r>
              <w:rPr>
                <w:rStyle w:val="FontStyle1000"/>
                <w:rFonts w:ascii="Times New Roman" w:hAnsi="Times New Roman"/>
                <w:sz w:val="24"/>
              </w:rPr>
              <w:t xml:space="preserve"> за отчетный период составило менее 95%:</w:t>
            </w:r>
          </w:p>
        </w:tc>
        <w:tc>
          <w:tcPr>
            <w:tcW w:w="2735" w:type="dxa"/>
            <w:tcBorders>
              <w:top w:val="single" w:sz="4" w:space="0" w:color="000000"/>
            </w:tcBorders>
            <w:vAlign w:val="center"/>
          </w:tcPr>
          <w:p w14:paraId="244DDDA3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100 баллов за каждый 1% ниже 95%</w:t>
            </w:r>
          </w:p>
        </w:tc>
      </w:tr>
      <w:tr w:rsidR="00AB0B34" w14:paraId="1348826D" w14:textId="77777777"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 w14:paraId="5BE8CEE0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2.</w:t>
            </w:r>
          </w:p>
        </w:tc>
        <w:tc>
          <w:tcPr>
            <w:tcW w:w="6020" w:type="dxa"/>
            <w:tcBorders>
              <w:top w:val="single" w:sz="4" w:space="0" w:color="000000"/>
            </w:tcBorders>
            <w:vAlign w:val="center"/>
          </w:tcPr>
          <w:p w14:paraId="0D554BEF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Значение </w:t>
            </w:r>
            <w:r>
              <w:t>«</w:t>
            </w:r>
            <w:r>
              <w:rPr>
                <w:rFonts w:ascii="Times New Roman" w:hAnsi="Times New Roman"/>
                <w:sz w:val="24"/>
              </w:rPr>
              <w:t>Качество эксплуатации программного обеспечения: доступность ПО»</w:t>
            </w:r>
            <w:r>
              <w:rPr>
                <w:rStyle w:val="FontStyle1000"/>
                <w:rFonts w:ascii="Times New Roman" w:hAnsi="Times New Roman"/>
                <w:sz w:val="24"/>
              </w:rPr>
              <w:t xml:space="preserve"> за отчетный период </w:t>
            </w:r>
            <w:r>
              <w:rPr>
                <w:rStyle w:val="FontStyle1000"/>
                <w:rFonts w:ascii="Times New Roman" w:hAnsi="Times New Roman"/>
                <w:sz w:val="24"/>
              </w:rPr>
              <w:lastRenderedPageBreak/>
              <w:t>составило менее 99%:</w:t>
            </w:r>
          </w:p>
        </w:tc>
        <w:tc>
          <w:tcPr>
            <w:tcW w:w="2735" w:type="dxa"/>
            <w:tcBorders>
              <w:top w:val="single" w:sz="4" w:space="0" w:color="000000"/>
            </w:tcBorders>
            <w:vAlign w:val="center"/>
          </w:tcPr>
          <w:p w14:paraId="1C4EBA29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lastRenderedPageBreak/>
              <w:t>100 баллов за каждый 1% ниже 99%</w:t>
            </w:r>
          </w:p>
        </w:tc>
      </w:tr>
      <w:tr w:rsidR="00AB0B34" w14:paraId="344D6CC8" w14:textId="77777777"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 w14:paraId="5FC046AB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3.</w:t>
            </w:r>
          </w:p>
        </w:tc>
        <w:tc>
          <w:tcPr>
            <w:tcW w:w="6020" w:type="dxa"/>
            <w:tcBorders>
              <w:top w:val="single" w:sz="4" w:space="0" w:color="000000"/>
            </w:tcBorders>
            <w:vAlign w:val="center"/>
          </w:tcPr>
          <w:p w14:paraId="6E63FB5D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Несоблюдение любого из дополнительных показателей эксплуатационной доступности Объекта Соглашения</w:t>
            </w:r>
          </w:p>
        </w:tc>
        <w:tc>
          <w:tcPr>
            <w:tcW w:w="2735" w:type="dxa"/>
            <w:tcBorders>
              <w:top w:val="single" w:sz="4" w:space="0" w:color="000000"/>
            </w:tcBorders>
            <w:vAlign w:val="center"/>
          </w:tcPr>
          <w:p w14:paraId="0CAF188C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 xml:space="preserve">100 баллов за каждый случай несоблюдения </w:t>
            </w:r>
          </w:p>
        </w:tc>
      </w:tr>
      <w:tr w:rsidR="00AB0B34" w14:paraId="1EF8F6FF" w14:textId="77777777">
        <w:tc>
          <w:tcPr>
            <w:tcW w:w="9355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952F7CB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0"/>
                <w:rFonts w:ascii="Times New Roman" w:hAnsi="Times New Roman"/>
                <w:b/>
                <w:sz w:val="24"/>
              </w:rPr>
            </w:pPr>
            <w:r>
              <w:rPr>
                <w:rStyle w:val="FontStyle1000"/>
                <w:rFonts w:ascii="Times New Roman" w:hAnsi="Times New Roman"/>
                <w:b/>
                <w:sz w:val="24"/>
              </w:rPr>
              <w:t>Нарушения, относящиеся к иным обязательствам Концессионера</w:t>
            </w:r>
          </w:p>
        </w:tc>
      </w:tr>
      <w:tr w:rsidR="00AB0B34" w14:paraId="362E73EE" w14:textId="77777777"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 w14:paraId="50285CB8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4.</w:t>
            </w:r>
          </w:p>
        </w:tc>
        <w:tc>
          <w:tcPr>
            <w:tcW w:w="6020" w:type="dxa"/>
            <w:tcBorders>
              <w:top w:val="single" w:sz="4" w:space="0" w:color="000000"/>
            </w:tcBorders>
            <w:vAlign w:val="center"/>
          </w:tcPr>
          <w:p w14:paraId="3779CEA5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 xml:space="preserve">Нарушение Концессионером своих обязательств о начале Эксплуатации Объекта Соглашения </w:t>
            </w:r>
          </w:p>
        </w:tc>
        <w:tc>
          <w:tcPr>
            <w:tcW w:w="2735" w:type="dxa"/>
            <w:tcBorders>
              <w:top w:val="single" w:sz="4" w:space="0" w:color="000000"/>
            </w:tcBorders>
            <w:vAlign w:val="center"/>
          </w:tcPr>
          <w:p w14:paraId="56F95493" w14:textId="77777777" w:rsidR="00AB0B34" w:rsidRDefault="00AB0B34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</w:p>
        </w:tc>
      </w:tr>
      <w:tr w:rsidR="00AB0B34" w14:paraId="30D5CCA4" w14:textId="77777777">
        <w:tc>
          <w:tcPr>
            <w:tcW w:w="600" w:type="dxa"/>
            <w:vAlign w:val="center"/>
          </w:tcPr>
          <w:p w14:paraId="2F2233D9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4.1</w:t>
            </w:r>
          </w:p>
        </w:tc>
        <w:tc>
          <w:tcPr>
            <w:tcW w:w="6020" w:type="dxa"/>
            <w:vAlign w:val="center"/>
          </w:tcPr>
          <w:p w14:paraId="4E2BE31F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Просрочка Концессионера на срок более 5 (Пяти) календарных дней, начиная с шестого дня просрочки.</w:t>
            </w:r>
          </w:p>
        </w:tc>
        <w:tc>
          <w:tcPr>
            <w:tcW w:w="2735" w:type="dxa"/>
            <w:vAlign w:val="center"/>
          </w:tcPr>
          <w:p w14:paraId="04B50D8F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50 баллов за каждый день просрочки</w:t>
            </w:r>
          </w:p>
        </w:tc>
      </w:tr>
      <w:tr w:rsidR="00AB0B34" w14:paraId="0252B0CC" w14:textId="77777777">
        <w:trPr>
          <w:trHeight w:val="1167"/>
        </w:trPr>
        <w:tc>
          <w:tcPr>
            <w:tcW w:w="600" w:type="dxa"/>
            <w:vAlign w:val="center"/>
          </w:tcPr>
          <w:p w14:paraId="15187112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4.2</w:t>
            </w:r>
          </w:p>
        </w:tc>
        <w:tc>
          <w:tcPr>
            <w:tcW w:w="6020" w:type="dxa"/>
            <w:vAlign w:val="center"/>
          </w:tcPr>
          <w:p w14:paraId="65B66992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Просрочка Концессионера на срок более 30 (Тридцати) календарных дней, начиная с тридцать первого дня просрочки.</w:t>
            </w:r>
          </w:p>
        </w:tc>
        <w:tc>
          <w:tcPr>
            <w:tcW w:w="2735" w:type="dxa"/>
            <w:vAlign w:val="center"/>
          </w:tcPr>
          <w:p w14:paraId="21FD026C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100 баллов за каждый день просрочки</w:t>
            </w:r>
          </w:p>
        </w:tc>
      </w:tr>
      <w:tr w:rsidR="00AB0B34" w14:paraId="38676879" w14:textId="77777777">
        <w:tc>
          <w:tcPr>
            <w:tcW w:w="600" w:type="dxa"/>
            <w:vAlign w:val="center"/>
          </w:tcPr>
          <w:p w14:paraId="39552121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5.</w:t>
            </w:r>
          </w:p>
        </w:tc>
        <w:tc>
          <w:tcPr>
            <w:tcW w:w="6020" w:type="dxa"/>
            <w:vAlign w:val="center"/>
          </w:tcPr>
          <w:p w14:paraId="11E4D07A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 xml:space="preserve">Нарушение Концессионером срока предоставления </w:t>
            </w:r>
            <w:proofErr w:type="spellStart"/>
            <w:r>
              <w:rPr>
                <w:rStyle w:val="FontStyle1000"/>
                <w:rFonts w:ascii="Times New Roman" w:hAnsi="Times New Roman"/>
                <w:sz w:val="24"/>
              </w:rPr>
              <w:t>Концеденту</w:t>
            </w:r>
            <w:proofErr w:type="spellEnd"/>
            <w:r>
              <w:rPr>
                <w:rStyle w:val="FontStyle1000"/>
                <w:rFonts w:ascii="Times New Roman" w:hAnsi="Times New Roman"/>
                <w:sz w:val="24"/>
              </w:rPr>
              <w:t xml:space="preserve"> оперативной отчетности.</w:t>
            </w:r>
          </w:p>
        </w:tc>
        <w:tc>
          <w:tcPr>
            <w:tcW w:w="2735" w:type="dxa"/>
            <w:vAlign w:val="center"/>
          </w:tcPr>
          <w:p w14:paraId="121E8881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10 баллов</w:t>
            </w:r>
          </w:p>
        </w:tc>
      </w:tr>
      <w:tr w:rsidR="00AB0B34" w14:paraId="7161B0FA" w14:textId="77777777">
        <w:tc>
          <w:tcPr>
            <w:tcW w:w="600" w:type="dxa"/>
            <w:vAlign w:val="center"/>
          </w:tcPr>
          <w:p w14:paraId="721FB8DB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6.</w:t>
            </w:r>
          </w:p>
        </w:tc>
        <w:tc>
          <w:tcPr>
            <w:tcW w:w="6020" w:type="dxa"/>
            <w:vAlign w:val="center"/>
          </w:tcPr>
          <w:p w14:paraId="46038DAA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 xml:space="preserve">Нарушение Концессионером срока предоставления </w:t>
            </w:r>
            <w:proofErr w:type="spellStart"/>
            <w:r>
              <w:rPr>
                <w:rStyle w:val="FontStyle1000"/>
                <w:rFonts w:ascii="Times New Roman" w:hAnsi="Times New Roman"/>
                <w:sz w:val="24"/>
              </w:rPr>
              <w:t>Концеденту</w:t>
            </w:r>
            <w:proofErr w:type="spellEnd"/>
            <w:r>
              <w:rPr>
                <w:rStyle w:val="FontStyle1000"/>
                <w:rFonts w:ascii="Times New Roman" w:hAnsi="Times New Roman"/>
                <w:sz w:val="24"/>
              </w:rPr>
              <w:t xml:space="preserve"> периодической отчетности.</w:t>
            </w:r>
          </w:p>
        </w:tc>
        <w:tc>
          <w:tcPr>
            <w:tcW w:w="2735" w:type="dxa"/>
            <w:vAlign w:val="center"/>
          </w:tcPr>
          <w:p w14:paraId="115E8003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50 баллов</w:t>
            </w:r>
          </w:p>
        </w:tc>
      </w:tr>
      <w:tr w:rsidR="00AB0B34" w14:paraId="354CFC42" w14:textId="77777777">
        <w:trPr>
          <w:trHeight w:val="983"/>
        </w:trPr>
        <w:tc>
          <w:tcPr>
            <w:tcW w:w="600" w:type="dxa"/>
            <w:vAlign w:val="center"/>
          </w:tcPr>
          <w:p w14:paraId="4BCF685F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7.</w:t>
            </w:r>
          </w:p>
        </w:tc>
        <w:tc>
          <w:tcPr>
            <w:tcW w:w="6020" w:type="dxa"/>
            <w:vAlign w:val="center"/>
          </w:tcPr>
          <w:p w14:paraId="6EE3E099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Полное прекращение Концессионером Эксплуатации Объекта Соглашения на срок 12 (Двенадцать) часов и более.</w:t>
            </w:r>
          </w:p>
        </w:tc>
        <w:tc>
          <w:tcPr>
            <w:tcW w:w="2735" w:type="dxa"/>
            <w:vAlign w:val="center"/>
          </w:tcPr>
          <w:p w14:paraId="372C307D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500 баллов за каждый день приостановки</w:t>
            </w:r>
          </w:p>
        </w:tc>
      </w:tr>
      <w:tr w:rsidR="00AB0B34" w14:paraId="4DED63AB" w14:textId="77777777">
        <w:trPr>
          <w:trHeight w:val="757"/>
        </w:trPr>
        <w:tc>
          <w:tcPr>
            <w:tcW w:w="600" w:type="dxa"/>
            <w:vAlign w:val="center"/>
          </w:tcPr>
          <w:p w14:paraId="65764970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8.</w:t>
            </w:r>
          </w:p>
        </w:tc>
        <w:tc>
          <w:tcPr>
            <w:tcW w:w="6020" w:type="dxa"/>
            <w:vAlign w:val="center"/>
          </w:tcPr>
          <w:p w14:paraId="05EC4940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 xml:space="preserve">Выявление </w:t>
            </w:r>
            <w:proofErr w:type="spellStart"/>
            <w:r>
              <w:rPr>
                <w:rStyle w:val="FontStyle1000"/>
                <w:rFonts w:ascii="Times New Roman" w:hAnsi="Times New Roman"/>
                <w:sz w:val="24"/>
              </w:rPr>
              <w:t>Концедентом</w:t>
            </w:r>
            <w:proofErr w:type="spellEnd"/>
            <w:r>
              <w:rPr>
                <w:rStyle w:val="FontStyle1000"/>
                <w:rFonts w:ascii="Times New Roman" w:hAnsi="Times New Roman"/>
                <w:sz w:val="24"/>
              </w:rPr>
              <w:t xml:space="preserve"> в оперативной и периодической отчетности Концессионера заведомо ложных сведений.</w:t>
            </w:r>
          </w:p>
        </w:tc>
        <w:tc>
          <w:tcPr>
            <w:tcW w:w="2735" w:type="dxa"/>
            <w:vAlign w:val="center"/>
          </w:tcPr>
          <w:p w14:paraId="54C2BD84" w14:textId="77777777" w:rsidR="00AB0B34" w:rsidRDefault="00B432DA">
            <w:pPr>
              <w:widowControl w:val="0"/>
              <w:tabs>
                <w:tab w:val="left" w:pos="142"/>
              </w:tabs>
              <w:spacing w:after="120" w:line="288" w:lineRule="auto"/>
              <w:ind w:left="77"/>
              <w:jc w:val="center"/>
              <w:rPr>
                <w:rStyle w:val="FontStyle1000"/>
                <w:rFonts w:ascii="Times New Roman" w:hAnsi="Times New Roman"/>
                <w:sz w:val="24"/>
              </w:rPr>
            </w:pPr>
            <w:r>
              <w:rPr>
                <w:rStyle w:val="FontStyle1000"/>
                <w:rFonts w:ascii="Times New Roman" w:hAnsi="Times New Roman"/>
                <w:sz w:val="24"/>
              </w:rPr>
              <w:t>100 баллов</w:t>
            </w:r>
          </w:p>
        </w:tc>
      </w:tr>
    </w:tbl>
    <w:p w14:paraId="2715747C" w14:textId="77777777" w:rsidR="00AB0B34" w:rsidRDefault="00AB0B34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04"/>
        <w:gridCol w:w="5019"/>
      </w:tblGrid>
      <w:tr w:rsidR="00AB0B34" w14:paraId="0A900BE1" w14:textId="77777777">
        <w:trPr>
          <w:trHeight w:val="585"/>
        </w:trPr>
        <w:tc>
          <w:tcPr>
            <w:tcW w:w="9923" w:type="dxa"/>
            <w:gridSpan w:val="2"/>
          </w:tcPr>
          <w:p w14:paraId="7D2278F5" w14:textId="77777777" w:rsidR="00AB0B34" w:rsidRDefault="00AB0B34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  <w:sz w:val="24"/>
              </w:rPr>
            </w:pPr>
          </w:p>
          <w:p w14:paraId="2E874CE3" w14:textId="77777777" w:rsidR="00AB0B34" w:rsidRDefault="00B432DA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ПОДПИСИ СТОРОН:</w:t>
            </w:r>
          </w:p>
          <w:p w14:paraId="179D59F0" w14:textId="77777777" w:rsidR="00AB0B34" w:rsidRDefault="00AB0B34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  <w:sz w:val="24"/>
              </w:rPr>
            </w:pPr>
          </w:p>
        </w:tc>
      </w:tr>
      <w:tr w:rsidR="00AB0B34" w14:paraId="7C42AB9E" w14:textId="77777777">
        <w:trPr>
          <w:trHeight w:val="1713"/>
        </w:trPr>
        <w:tc>
          <w:tcPr>
            <w:tcW w:w="4904" w:type="dxa"/>
          </w:tcPr>
          <w:p w14:paraId="53247959" w14:textId="0BDFBA20" w:rsidR="00AB0B34" w:rsidRDefault="00B432DA" w:rsidP="00B432DA">
            <w:pPr>
              <w:spacing w:after="0"/>
              <w:ind w:left="176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От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Концедента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>:</w:t>
            </w:r>
          </w:p>
          <w:p w14:paraId="39503787" w14:textId="1AD65C4E" w:rsidR="00AB0B34" w:rsidRDefault="00B432DA" w:rsidP="00B432DA">
            <w:pPr>
              <w:spacing w:after="0"/>
              <w:ind w:left="176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Министерство транспорта и дорожного хозяйства Вологодской области</w:t>
            </w:r>
          </w:p>
          <w:p w14:paraId="2C9FDCA0" w14:textId="77777777" w:rsidR="00B432DA" w:rsidRDefault="00B432DA" w:rsidP="00B432DA">
            <w:pPr>
              <w:spacing w:after="0"/>
              <w:ind w:left="176"/>
              <w:jc w:val="both"/>
              <w:rPr>
                <w:rFonts w:ascii="Times New Roman" w:hAnsi="Times New Roman"/>
                <w:sz w:val="24"/>
              </w:rPr>
            </w:pPr>
          </w:p>
          <w:p w14:paraId="20F4027E" w14:textId="4C105D56" w:rsidR="00B432DA" w:rsidRPr="00D503AA" w:rsidRDefault="00B432DA" w:rsidP="00B432DA">
            <w:pPr>
              <w:spacing w:after="0"/>
              <w:ind w:left="176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Министр</w:t>
            </w:r>
          </w:p>
          <w:p w14:paraId="556F1AF8" w14:textId="77777777" w:rsidR="00AB0B34" w:rsidRDefault="00AB0B34" w:rsidP="00B432DA">
            <w:pPr>
              <w:spacing w:after="0"/>
              <w:ind w:left="176"/>
              <w:jc w:val="both"/>
              <w:rPr>
                <w:rFonts w:ascii="Times New Roman" w:hAnsi="Times New Roman"/>
                <w:sz w:val="24"/>
              </w:rPr>
            </w:pPr>
          </w:p>
          <w:p w14:paraId="6D151723" w14:textId="77777777" w:rsidR="00AB0B34" w:rsidRPr="00D503AA" w:rsidRDefault="00AB0B34" w:rsidP="00B432DA">
            <w:pPr>
              <w:spacing w:after="0"/>
              <w:ind w:left="176"/>
              <w:jc w:val="both"/>
              <w:rPr>
                <w:rFonts w:ascii="Times New Roman" w:hAnsi="Times New Roman"/>
                <w:sz w:val="24"/>
              </w:rPr>
            </w:pPr>
          </w:p>
          <w:p w14:paraId="5D257906" w14:textId="38A35DAB" w:rsidR="00AB0B34" w:rsidRDefault="00B432DA" w:rsidP="00B432DA">
            <w:pPr>
              <w:spacing w:after="0"/>
              <w:ind w:left="176"/>
              <w:jc w:val="both"/>
              <w:rPr>
                <w:rFonts w:ascii="Times New Roman" w:hAnsi="Times New Roman"/>
                <w:b/>
                <w:i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_______________ /</w:t>
            </w:r>
            <w:r>
              <w:rPr>
                <w:rFonts w:ascii="Times New Roman" w:hAnsi="Times New Roman"/>
                <w:sz w:val="24"/>
              </w:rPr>
              <w:t>Борисов Д.В./</w:t>
            </w:r>
          </w:p>
        </w:tc>
        <w:tc>
          <w:tcPr>
            <w:tcW w:w="5019" w:type="dxa"/>
          </w:tcPr>
          <w:p w14:paraId="01A0B6D2" w14:textId="77777777" w:rsidR="00AB0B34" w:rsidRDefault="00B432DA" w:rsidP="00B432DA">
            <w:pPr>
              <w:spacing w:after="0"/>
              <w:ind w:left="176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От Концессионера:</w:t>
            </w:r>
          </w:p>
          <w:p w14:paraId="0D924F63" w14:textId="77777777" w:rsidR="00AB0B34" w:rsidRDefault="00B432DA" w:rsidP="00B432DA">
            <w:pPr>
              <w:spacing w:after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Общество с ограниченной ответственностью «МВС»</w:t>
            </w:r>
          </w:p>
          <w:p w14:paraId="40FC4C2D" w14:textId="77777777" w:rsidR="00AB0B34" w:rsidRDefault="00AB0B34" w:rsidP="00B432DA">
            <w:pPr>
              <w:spacing w:after="0"/>
              <w:jc w:val="both"/>
              <w:rPr>
                <w:rFonts w:ascii="Times New Roman" w:hAnsi="Times New Roman"/>
                <w:sz w:val="24"/>
              </w:rPr>
            </w:pPr>
          </w:p>
          <w:p w14:paraId="2A033D11" w14:textId="77777777" w:rsidR="00AB0B34" w:rsidRDefault="00B432DA" w:rsidP="00B432DA">
            <w:pPr>
              <w:spacing w:after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Генеральный директор</w:t>
            </w:r>
          </w:p>
          <w:p w14:paraId="594A87BF" w14:textId="77777777" w:rsidR="00AB0B34" w:rsidRDefault="00AB0B34" w:rsidP="00B432DA">
            <w:pPr>
              <w:spacing w:after="0"/>
              <w:jc w:val="both"/>
              <w:rPr>
                <w:rFonts w:ascii="Times New Roman" w:hAnsi="Times New Roman"/>
                <w:sz w:val="24"/>
              </w:rPr>
            </w:pPr>
          </w:p>
          <w:p w14:paraId="6E4D304D" w14:textId="77777777" w:rsidR="00B432DA" w:rsidRDefault="00B432DA" w:rsidP="00B432DA">
            <w:pPr>
              <w:spacing w:after="0"/>
              <w:jc w:val="both"/>
              <w:rPr>
                <w:rFonts w:ascii="Times New Roman" w:hAnsi="Times New Roman"/>
                <w:sz w:val="24"/>
              </w:rPr>
            </w:pPr>
          </w:p>
          <w:p w14:paraId="1B468AAC" w14:textId="77777777" w:rsidR="00AB0B34" w:rsidRDefault="00B432DA" w:rsidP="00B432DA">
            <w:pPr>
              <w:spacing w:after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_______________ /Хазов Д.В. /</w:t>
            </w:r>
          </w:p>
        </w:tc>
      </w:tr>
    </w:tbl>
    <w:p w14:paraId="24BEC303" w14:textId="77777777" w:rsidR="00AB0B34" w:rsidRDefault="00AB0B34" w:rsidP="00B432DA"/>
    <w:sectPr w:rsidR="00AB0B34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325FCA"/>
    <w:multiLevelType w:val="multilevel"/>
    <w:tmpl w:val="4A483E88"/>
    <w:lvl w:ilvl="0">
      <w:start w:val="1"/>
      <w:numFmt w:val="bullet"/>
      <w:lvlText w:val=""/>
      <w:lvlJc w:val="left"/>
      <w:pPr>
        <w:ind w:left="1494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214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934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54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74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94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814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534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54" w:hanging="360"/>
      </w:pPr>
      <w:rPr>
        <w:rFonts w:ascii="Wingdings" w:hAnsi="Wingdings"/>
      </w:rPr>
    </w:lvl>
  </w:abstractNum>
  <w:abstractNum w:abstractNumId="1" w15:restartNumberingAfterBreak="0">
    <w:nsid w:val="342D5F56"/>
    <w:multiLevelType w:val="multilevel"/>
    <w:tmpl w:val="80F012CC"/>
    <w:lvl w:ilvl="0">
      <w:start w:val="1"/>
      <w:numFmt w:val="bullet"/>
      <w:lvlText w:val=""/>
      <w:lvlJc w:val="left"/>
      <w:pPr>
        <w:ind w:left="1494" w:hanging="360"/>
      </w:pPr>
      <w:rPr>
        <w:rFonts w:ascii="Symbol" w:hAnsi="Symbol"/>
      </w:rPr>
    </w:lvl>
    <w:lvl w:ilvl="1">
      <w:start w:val="1"/>
      <w:numFmt w:val="lowerLetter"/>
      <w:lvlText w:val="%2."/>
      <w:lvlJc w:val="left"/>
      <w:pPr>
        <w:ind w:left="1505" w:hanging="360"/>
      </w:pPr>
    </w:lvl>
    <w:lvl w:ilvl="2">
      <w:start w:val="1"/>
      <w:numFmt w:val="lowerRoman"/>
      <w:lvlText w:val="%3."/>
      <w:lvlJc w:val="right"/>
      <w:pPr>
        <w:ind w:left="2225" w:hanging="180"/>
      </w:pPr>
    </w:lvl>
    <w:lvl w:ilvl="3">
      <w:start w:val="1"/>
      <w:numFmt w:val="decimal"/>
      <w:lvlText w:val="%4."/>
      <w:lvlJc w:val="left"/>
      <w:pPr>
        <w:ind w:left="2945" w:hanging="360"/>
      </w:pPr>
    </w:lvl>
    <w:lvl w:ilvl="4">
      <w:start w:val="1"/>
      <w:numFmt w:val="lowerLetter"/>
      <w:lvlText w:val="%5."/>
      <w:lvlJc w:val="left"/>
      <w:pPr>
        <w:ind w:left="3665" w:hanging="360"/>
      </w:pPr>
    </w:lvl>
    <w:lvl w:ilvl="5">
      <w:start w:val="1"/>
      <w:numFmt w:val="lowerRoman"/>
      <w:lvlText w:val="%6."/>
      <w:lvlJc w:val="right"/>
      <w:pPr>
        <w:ind w:left="4385" w:hanging="180"/>
      </w:pPr>
    </w:lvl>
    <w:lvl w:ilvl="6">
      <w:start w:val="1"/>
      <w:numFmt w:val="decimal"/>
      <w:lvlText w:val="%7."/>
      <w:lvlJc w:val="left"/>
      <w:pPr>
        <w:ind w:left="5105" w:hanging="360"/>
      </w:pPr>
    </w:lvl>
    <w:lvl w:ilvl="7">
      <w:start w:val="1"/>
      <w:numFmt w:val="lowerLetter"/>
      <w:lvlText w:val="%8."/>
      <w:lvlJc w:val="left"/>
      <w:pPr>
        <w:ind w:left="5825" w:hanging="360"/>
      </w:pPr>
    </w:lvl>
    <w:lvl w:ilvl="8">
      <w:start w:val="1"/>
      <w:numFmt w:val="lowerRoman"/>
      <w:lvlText w:val="%9."/>
      <w:lvlJc w:val="right"/>
      <w:pPr>
        <w:ind w:left="6545" w:hanging="180"/>
      </w:pPr>
    </w:lvl>
  </w:abstractNum>
  <w:abstractNum w:abstractNumId="2" w15:restartNumberingAfterBreak="0">
    <w:nsid w:val="6D744AB5"/>
    <w:multiLevelType w:val="multilevel"/>
    <w:tmpl w:val="6A5E2D0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20" w:hanging="420"/>
      </w:pPr>
      <w:rPr>
        <w:b w:val="0"/>
      </w:rPr>
    </w:lvl>
    <w:lvl w:ilvl="2">
      <w:start w:val="1"/>
      <w:numFmt w:val="decimal"/>
      <w:lvlText w:val="%1.%2.%3."/>
      <w:lvlJc w:val="left"/>
      <w:pPr>
        <w:ind w:left="862" w:hanging="720"/>
      </w:pPr>
      <w:rPr>
        <w:b w:val="0"/>
      </w:rPr>
    </w:lvl>
    <w:lvl w:ilvl="3">
      <w:start w:val="1"/>
      <w:numFmt w:val="decimal"/>
      <w:lvlText w:val="%1.%2.%3.%4."/>
      <w:lvlJc w:val="left"/>
      <w:pPr>
        <w:ind w:left="1003" w:hanging="720"/>
      </w:pPr>
    </w:lvl>
    <w:lvl w:ilvl="4">
      <w:start w:val="1"/>
      <w:numFmt w:val="decimal"/>
      <w:lvlText w:val="%1.%2.%3.%4.%5."/>
      <w:lvlJc w:val="left"/>
      <w:pPr>
        <w:ind w:left="2007" w:hanging="1080"/>
      </w:pPr>
    </w:lvl>
    <w:lvl w:ilvl="5">
      <w:start w:val="1"/>
      <w:numFmt w:val="decimal"/>
      <w:lvlText w:val="%1.%2.%3.%4.%5.%6."/>
      <w:lvlJc w:val="left"/>
      <w:pPr>
        <w:ind w:left="2007" w:hanging="1080"/>
      </w:pPr>
    </w:lvl>
    <w:lvl w:ilvl="6">
      <w:start w:val="1"/>
      <w:numFmt w:val="decimal"/>
      <w:lvlText w:val="%1.%2.%3.%4.%5.%6.%7."/>
      <w:lvlJc w:val="left"/>
      <w:pPr>
        <w:ind w:left="2367" w:hanging="1440"/>
      </w:pPr>
    </w:lvl>
    <w:lvl w:ilvl="7">
      <w:start w:val="1"/>
      <w:numFmt w:val="decimal"/>
      <w:lvlText w:val="%1.%2.%3.%4.%5.%6.%7.%8."/>
      <w:lvlJc w:val="left"/>
      <w:pPr>
        <w:ind w:left="2367" w:hanging="1440"/>
      </w:pPr>
    </w:lvl>
    <w:lvl w:ilvl="8">
      <w:start w:val="1"/>
      <w:numFmt w:val="decimal"/>
      <w:lvlText w:val="%1.%2.%3.%4.%5.%6.%7.%8.%9."/>
      <w:lvlJc w:val="left"/>
      <w:pPr>
        <w:ind w:left="2727" w:hanging="1800"/>
      </w:pPr>
    </w:lvl>
  </w:abstractNum>
  <w:abstractNum w:abstractNumId="3" w15:restartNumberingAfterBreak="0">
    <w:nsid w:val="6E9770FA"/>
    <w:multiLevelType w:val="multilevel"/>
    <w:tmpl w:val="E912DD50"/>
    <w:lvl w:ilvl="0">
      <w:start w:val="1"/>
      <w:numFmt w:val="bullet"/>
      <w:lvlText w:val=""/>
      <w:lvlJc w:val="left"/>
      <w:pPr>
        <w:ind w:left="927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36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08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52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24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687" w:hanging="360"/>
      </w:pPr>
      <w:rPr>
        <w:rFonts w:ascii="Wingdings" w:hAnsi="Wingdings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B34"/>
    <w:rsid w:val="00025715"/>
    <w:rsid w:val="00165D3C"/>
    <w:rsid w:val="008F5C66"/>
    <w:rsid w:val="009D26E5"/>
    <w:rsid w:val="00AA2012"/>
    <w:rsid w:val="00AB0B34"/>
    <w:rsid w:val="00B432DA"/>
    <w:rsid w:val="00C41765"/>
    <w:rsid w:val="00C45C7B"/>
    <w:rsid w:val="00D503AA"/>
    <w:rsid w:val="00E71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64D1A8"/>
  <w15:docId w15:val="{9ABBEF50-B6E5-40CB-BAE3-527A207A9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link w:val="1"/>
    <w:qFormat/>
    <w:pPr>
      <w:spacing w:after="200" w:line="276" w:lineRule="auto"/>
    </w:pPr>
  </w:style>
  <w:style w:type="paragraph" w:styleId="10">
    <w:name w:val="heading 1"/>
    <w:next w:val="a"/>
    <w:link w:val="11"/>
    <w:uiPriority w:val="9"/>
    <w:qFormat/>
    <w:pPr>
      <w:spacing w:before="120" w:after="120"/>
      <w:jc w:val="both"/>
      <w:outlineLvl w:val="0"/>
    </w:pPr>
    <w:rPr>
      <w:rFonts w:ascii="XO Thames" w:hAnsi="XO Thames"/>
      <w:b/>
      <w:sz w:val="3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customStyle="1" w:styleId="a3">
    <w:link w:val="a4"/>
    <w:semiHidden/>
    <w:unhideWhenUsed/>
    <w:pPr>
      <w:spacing w:after="0" w:line="240" w:lineRule="auto"/>
    </w:pPr>
  </w:style>
  <w:style w:type="character" w:customStyle="1" w:styleId="a4">
    <w:link w:val="a3"/>
    <w:semiHidden/>
    <w:unhideWhenUsed/>
  </w:style>
  <w:style w:type="paragraph" w:customStyle="1" w:styleId="12">
    <w:name w:val="Знак примечания1"/>
    <w:basedOn w:val="13"/>
    <w:link w:val="a5"/>
    <w:rPr>
      <w:sz w:val="16"/>
    </w:rPr>
  </w:style>
  <w:style w:type="character" w:styleId="a5">
    <w:name w:val="annotation reference"/>
    <w:basedOn w:val="a0"/>
    <w:link w:val="12"/>
    <w:rPr>
      <w:sz w:val="16"/>
    </w:rPr>
  </w:style>
  <w:style w:type="paragraph" w:styleId="a6">
    <w:name w:val="List Paragraph"/>
    <w:basedOn w:val="a"/>
    <w:link w:val="a7"/>
    <w:pPr>
      <w:ind w:left="720"/>
      <w:contextualSpacing/>
    </w:pPr>
  </w:style>
  <w:style w:type="character" w:customStyle="1" w:styleId="a7">
    <w:name w:val="Абзац списка Знак"/>
    <w:basedOn w:val="1"/>
    <w:link w:val="a6"/>
  </w:style>
  <w:style w:type="paragraph" w:styleId="a8">
    <w:name w:val="header"/>
    <w:basedOn w:val="a"/>
    <w:link w:val="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1"/>
    <w:link w:val="a8"/>
  </w:style>
  <w:style w:type="paragraph" w:customStyle="1" w:styleId="14">
    <w:name w:val="Абзац списка1"/>
    <w:basedOn w:val="a"/>
    <w:link w:val="15"/>
    <w:pPr>
      <w:ind w:left="720"/>
    </w:pPr>
    <w:rPr>
      <w:rFonts w:ascii="Calibri" w:hAnsi="Calibri"/>
    </w:rPr>
  </w:style>
  <w:style w:type="character" w:customStyle="1" w:styleId="15">
    <w:name w:val="Абзац списка1"/>
    <w:basedOn w:val="1"/>
    <w:link w:val="14"/>
    <w:rPr>
      <w:rFonts w:ascii="Calibri" w:hAnsi="Calibri"/>
    </w:rPr>
  </w:style>
  <w:style w:type="paragraph" w:styleId="aa">
    <w:name w:val="annotation text"/>
    <w:basedOn w:val="a"/>
    <w:link w:val="ab"/>
    <w:pPr>
      <w:spacing w:line="240" w:lineRule="auto"/>
    </w:pPr>
    <w:rPr>
      <w:sz w:val="20"/>
    </w:rPr>
  </w:style>
  <w:style w:type="character" w:customStyle="1" w:styleId="ab">
    <w:name w:val="Текст примечания Знак"/>
    <w:basedOn w:val="1"/>
    <w:link w:val="aa"/>
    <w:rPr>
      <w:sz w:val="20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6">
    <w:name w:val="Гиперссылка1"/>
    <w:link w:val="ac"/>
    <w:rPr>
      <w:color w:val="0000FF"/>
      <w:u w:val="single"/>
    </w:rPr>
  </w:style>
  <w:style w:type="character" w:styleId="ac">
    <w:name w:val="Hyperlink"/>
    <w:link w:val="16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7">
    <w:name w:val="toc 1"/>
    <w:next w:val="a"/>
    <w:link w:val="18"/>
    <w:uiPriority w:val="39"/>
    <w:rPr>
      <w:rFonts w:ascii="XO Thames" w:hAnsi="XO Thames"/>
      <w:b/>
      <w:sz w:val="28"/>
    </w:rPr>
  </w:style>
  <w:style w:type="character" w:customStyle="1" w:styleId="18">
    <w:name w:val="Оглавление 1 Знак"/>
    <w:link w:val="17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d">
    <w:name w:val="Subtitle"/>
    <w:next w:val="a"/>
    <w:link w:val="ae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e">
    <w:name w:val="Подзаголовок Знак"/>
    <w:link w:val="ad"/>
    <w:rPr>
      <w:rFonts w:ascii="XO Thames" w:hAnsi="XO Thames"/>
      <w:i/>
      <w:sz w:val="24"/>
    </w:rPr>
  </w:style>
  <w:style w:type="paragraph" w:styleId="af">
    <w:name w:val="footer"/>
    <w:basedOn w:val="a"/>
    <w:link w:val="a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1"/>
    <w:link w:val="af"/>
  </w:style>
  <w:style w:type="paragraph" w:styleId="af1">
    <w:name w:val="Title"/>
    <w:next w:val="a"/>
    <w:link w:val="af2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2">
    <w:name w:val="Заголовок Знак"/>
    <w:link w:val="af1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paragraph" w:customStyle="1" w:styleId="FontStyle100">
    <w:name w:val="Font Style100"/>
    <w:link w:val="FontStyle1000"/>
    <w:rPr>
      <w:rFonts w:ascii="Garamond" w:hAnsi="Garamond"/>
      <w:sz w:val="18"/>
    </w:rPr>
  </w:style>
  <w:style w:type="character" w:customStyle="1" w:styleId="FontStyle1000">
    <w:name w:val="Font Style100"/>
    <w:link w:val="FontStyle100"/>
    <w:rPr>
      <w:rFonts w:ascii="Garamond" w:hAnsi="Garamond"/>
      <w:sz w:val="18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paragraph" w:customStyle="1" w:styleId="13">
    <w:name w:val="Основной шрифт абзаца1"/>
  </w:style>
  <w:style w:type="paragraph" w:styleId="af3">
    <w:name w:val="Balloon Text"/>
    <w:basedOn w:val="a"/>
    <w:link w:val="af4"/>
    <w:pPr>
      <w:spacing w:after="0" w:line="240" w:lineRule="auto"/>
    </w:pPr>
    <w:rPr>
      <w:rFonts w:ascii="Segoe UI" w:hAnsi="Segoe UI"/>
      <w:sz w:val="18"/>
    </w:rPr>
  </w:style>
  <w:style w:type="character" w:customStyle="1" w:styleId="af4">
    <w:name w:val="Текст выноски Знак"/>
    <w:basedOn w:val="1"/>
    <w:link w:val="af3"/>
    <w:rPr>
      <w:rFonts w:ascii="Segoe UI" w:hAnsi="Segoe UI"/>
      <w:sz w:val="18"/>
    </w:rPr>
  </w:style>
  <w:style w:type="table" w:styleId="af5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8</Pages>
  <Words>2277</Words>
  <Characters>12981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Егошин Кирилл</dc:creator>
  <cp:lastModifiedBy>Губатенко Инна</cp:lastModifiedBy>
  <cp:revision>5</cp:revision>
  <dcterms:created xsi:type="dcterms:W3CDTF">2025-01-22T08:48:00Z</dcterms:created>
  <dcterms:modified xsi:type="dcterms:W3CDTF">2025-01-24T13:20:00Z</dcterms:modified>
</cp:coreProperties>
</file>