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647A" w14:textId="77777777" w:rsidR="00AB0B34" w:rsidRDefault="00B432DA">
      <w:pPr>
        <w:pageBreakBefore/>
        <w:spacing w:after="0" w:line="240" w:lineRule="auto"/>
        <w:ind w:left="3969"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Приложение №8</w:t>
      </w:r>
    </w:p>
    <w:p w14:paraId="7DCD7901" w14:textId="77777777" w:rsidR="00AB0B34" w:rsidRDefault="00B432DA">
      <w:pPr>
        <w:spacing w:before="120" w:after="0" w:line="240" w:lineRule="auto"/>
        <w:ind w:left="467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 Концессионному соглашению 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</w:p>
    <w:p w14:paraId="4EA80FA7" w14:textId="317843AA" w:rsidR="00AB0B34" w:rsidRDefault="00B432DA">
      <w:pPr>
        <w:spacing w:before="120" w:after="0" w:line="240" w:lineRule="auto"/>
        <w:ind w:left="4678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от </w:t>
      </w:r>
      <w:r w:rsidR="008F5C66">
        <w:rPr>
          <w:rFonts w:ascii="Times New Roman" w:hAnsi="Times New Roman"/>
          <w:sz w:val="24"/>
        </w:rPr>
        <w:t>28.12</w:t>
      </w:r>
      <w:r w:rsidR="009D26E5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2024 года № ____________</w:t>
      </w:r>
    </w:p>
    <w:p w14:paraId="206D4FEA" w14:textId="77777777" w:rsidR="00AB0B34" w:rsidRDefault="00AB0B34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1C9F7A1C" w14:textId="77777777" w:rsidR="00AB0B34" w:rsidRDefault="00AB0B34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2D1C3D32" w14:textId="77777777" w:rsidR="00AB0B34" w:rsidRDefault="00AB0B34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2F646368" w14:textId="77777777" w:rsidR="00AB0B34" w:rsidRDefault="00AB0B34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3946681F" w14:textId="77777777" w:rsidR="00AB0B34" w:rsidRDefault="00AB0B34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5D1530D8" w14:textId="77777777" w:rsidR="00AB0B34" w:rsidRDefault="00B432DA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ШТРАФЫ</w:t>
      </w:r>
    </w:p>
    <w:p w14:paraId="10FFC888" w14:textId="77777777" w:rsidR="00AB0B34" w:rsidRDefault="00B432DA">
      <w:pPr>
        <w:ind w:firstLine="709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br w:type="page"/>
      </w:r>
    </w:p>
    <w:p w14:paraId="3FBCB8C3" w14:textId="77777777" w:rsidR="00AB0B34" w:rsidRDefault="00B432DA">
      <w:pPr>
        <w:spacing w:after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Требования по качеству Эксплуатации</w:t>
      </w:r>
    </w:p>
    <w:p w14:paraId="4608E2E3" w14:textId="77777777" w:rsidR="00AB0B34" w:rsidRDefault="00AB0B34">
      <w:pPr>
        <w:spacing w:after="0"/>
        <w:jc w:val="center"/>
        <w:rPr>
          <w:rFonts w:ascii="Times New Roman" w:hAnsi="Times New Roman"/>
          <w:b/>
          <w:sz w:val="28"/>
        </w:rPr>
      </w:pPr>
    </w:p>
    <w:p w14:paraId="5DF4F455" w14:textId="1437F473" w:rsidR="00AB0B34" w:rsidRPr="00E37FC5" w:rsidRDefault="00E37FC5" w:rsidP="00E37FC5">
      <w:pPr>
        <w:spacing w:after="0" w:line="288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</w:t>
      </w:r>
      <w:r>
        <w:rPr>
          <w:rFonts w:ascii="Times New Roman" w:hAnsi="Times New Roman"/>
          <w:b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>Качество эксплуатации системы ФВФ</w:t>
      </w:r>
    </w:p>
    <w:p w14:paraId="194E40DD" w14:textId="77777777" w:rsidR="00AB0B34" w:rsidRDefault="00B432DA">
      <w:pPr>
        <w:pStyle w:val="14"/>
        <w:widowControl w:val="0"/>
        <w:spacing w:after="240" w:line="288" w:lineRule="auto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Концессионер обязуется обеспечить следующие показатели эксплуатационной доступности Объекта Соглашения с учетом положений Приложения № 3 к Соглашению и Регламента Эксплуатации:</w:t>
      </w:r>
    </w:p>
    <w:tbl>
      <w:tblPr>
        <w:tblStyle w:val="af5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6804"/>
        <w:gridCol w:w="2546"/>
      </w:tblGrid>
      <w:tr w:rsidR="00AB0B34" w14:paraId="06ADD1D3" w14:textId="77777777">
        <w:tc>
          <w:tcPr>
            <w:tcW w:w="6804" w:type="dxa"/>
          </w:tcPr>
          <w:p w14:paraId="6A1B2BE9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2546" w:type="dxa"/>
          </w:tcPr>
          <w:p w14:paraId="2F706A61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AB0B34" w14:paraId="4269D0E1" w14:textId="77777777">
        <w:tc>
          <w:tcPr>
            <w:tcW w:w="6804" w:type="dxa"/>
          </w:tcPr>
          <w:p w14:paraId="5557432C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Показатель уровня нормативной эксплуатационной доступности комплексов ФВФ нарушений ПДД</w:t>
            </w:r>
          </w:p>
        </w:tc>
        <w:tc>
          <w:tcPr>
            <w:tcW w:w="2546" w:type="dxa"/>
          </w:tcPr>
          <w:p w14:paraId="0FB8DFAE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95%</w:t>
            </w:r>
          </w:p>
        </w:tc>
      </w:tr>
      <w:tr w:rsidR="00AB0B34" w14:paraId="007DBF95" w14:textId="77777777">
        <w:tc>
          <w:tcPr>
            <w:tcW w:w="6804" w:type="dxa"/>
          </w:tcPr>
          <w:p w14:paraId="707F2A31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Качество эксплуатации программного обеспечения: доступность ПО</w:t>
            </w:r>
          </w:p>
        </w:tc>
        <w:tc>
          <w:tcPr>
            <w:tcW w:w="2546" w:type="dxa"/>
          </w:tcPr>
          <w:p w14:paraId="59828D90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99%</w:t>
            </w:r>
          </w:p>
        </w:tc>
      </w:tr>
    </w:tbl>
    <w:p w14:paraId="732B6AAD" w14:textId="77777777" w:rsidR="00AB0B34" w:rsidRDefault="00AB0B34">
      <w:pPr>
        <w:pStyle w:val="a6"/>
        <w:spacing w:after="0" w:line="288" w:lineRule="auto"/>
        <w:ind w:left="360"/>
        <w:contextualSpacing w:val="0"/>
        <w:jc w:val="both"/>
        <w:rPr>
          <w:rFonts w:ascii="Times New Roman" w:hAnsi="Times New Roman"/>
          <w:sz w:val="24"/>
        </w:rPr>
      </w:pPr>
    </w:p>
    <w:p w14:paraId="63A86DDA" w14:textId="77777777" w:rsidR="00AB0B34" w:rsidRDefault="00B432DA">
      <w:pPr>
        <w:pStyle w:val="14"/>
        <w:widowControl w:val="0"/>
        <w:spacing w:after="240" w:line="288" w:lineRule="auto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Концессионер обязуется обеспечить соблюдение следующих дополнительных показателей операционной эффективности (дополнительных показателей эксплуатационной доступности Объекта Соглашения):</w:t>
      </w:r>
    </w:p>
    <w:tbl>
      <w:tblPr>
        <w:tblStyle w:val="af5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6804"/>
        <w:gridCol w:w="2546"/>
      </w:tblGrid>
      <w:tr w:rsidR="00AB0B34" w14:paraId="12CDA8AA" w14:textId="77777777">
        <w:tc>
          <w:tcPr>
            <w:tcW w:w="6804" w:type="dxa"/>
          </w:tcPr>
          <w:p w14:paraId="4F8B2514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2546" w:type="dxa"/>
          </w:tcPr>
          <w:p w14:paraId="281A44C9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AB0B34" w14:paraId="73DFF09D" w14:textId="77777777">
        <w:tc>
          <w:tcPr>
            <w:tcW w:w="6804" w:type="dxa"/>
          </w:tcPr>
          <w:p w14:paraId="76CC4CD5" w14:textId="0D815C24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Предельное время восстановления работоспособности серверного оборудования (восстановления функционала, необходимого для </w:t>
            </w:r>
            <w:r w:rsidR="008F5C66">
              <w:rPr>
                <w:rFonts w:ascii="Times New Roman" w:hAnsi="Times New Roman"/>
                <w:sz w:val="24"/>
              </w:rPr>
              <w:t>э</w:t>
            </w:r>
            <w:r>
              <w:rPr>
                <w:rFonts w:ascii="Times New Roman" w:hAnsi="Times New Roman"/>
                <w:sz w:val="24"/>
              </w:rPr>
              <w:t>ксплуатации Объекта Соглашения в соответствии с Регламентом Эксплуатации)</w:t>
            </w:r>
          </w:p>
        </w:tc>
        <w:tc>
          <w:tcPr>
            <w:tcW w:w="2546" w:type="dxa"/>
          </w:tcPr>
          <w:p w14:paraId="16AC87BC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 часа</w:t>
            </w:r>
          </w:p>
        </w:tc>
      </w:tr>
      <w:tr w:rsidR="00AB0B34" w14:paraId="5369F15B" w14:textId="77777777">
        <w:tc>
          <w:tcPr>
            <w:tcW w:w="6804" w:type="dxa"/>
          </w:tcPr>
          <w:p w14:paraId="711EB583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Предельное время восстановления работоспособности системы хранения данных (восстановления функционала, необходимого для Эксплуатации Объекта Соглашения в соответствии с Регламентом Эксплуатации)</w:t>
            </w:r>
          </w:p>
        </w:tc>
        <w:tc>
          <w:tcPr>
            <w:tcW w:w="2546" w:type="dxa"/>
          </w:tcPr>
          <w:p w14:paraId="422653CF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 часа</w:t>
            </w:r>
          </w:p>
        </w:tc>
      </w:tr>
      <w:tr w:rsidR="00AB0B34" w14:paraId="2FEEB1D5" w14:textId="77777777">
        <w:tc>
          <w:tcPr>
            <w:tcW w:w="6804" w:type="dxa"/>
          </w:tcPr>
          <w:p w14:paraId="225D2300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Предельное время реакции на инциденты (сообщения о неработоспособности и (или) ненадлежащей работоспособности</w:t>
            </w:r>
          </w:p>
        </w:tc>
        <w:tc>
          <w:tcPr>
            <w:tcW w:w="2546" w:type="dxa"/>
          </w:tcPr>
          <w:p w14:paraId="6A1482E6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30 минут</w:t>
            </w:r>
          </w:p>
        </w:tc>
      </w:tr>
      <w:tr w:rsidR="00AB0B34" w14:paraId="5EE894BE" w14:textId="77777777">
        <w:tc>
          <w:tcPr>
            <w:tcW w:w="6804" w:type="dxa"/>
          </w:tcPr>
          <w:p w14:paraId="73291104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Предельное время восстановления работоспособности специального программного обеспечения (восстановления основного функционала, в соответствии с Приложением № 2 и Проектной Документацией)</w:t>
            </w:r>
          </w:p>
        </w:tc>
        <w:tc>
          <w:tcPr>
            <w:tcW w:w="2546" w:type="dxa"/>
          </w:tcPr>
          <w:p w14:paraId="097EC217" w14:textId="77777777" w:rsidR="00AB0B34" w:rsidRDefault="00B432DA">
            <w:pPr>
              <w:pStyle w:val="a6"/>
              <w:spacing w:line="288" w:lineRule="auto"/>
              <w:ind w:left="0"/>
              <w:contextualSpacing w:val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8 часов</w:t>
            </w:r>
          </w:p>
        </w:tc>
      </w:tr>
    </w:tbl>
    <w:p w14:paraId="1B9F1332" w14:textId="77777777" w:rsidR="00AB0B34" w:rsidRDefault="00AB0B34">
      <w:pPr>
        <w:pStyle w:val="a6"/>
        <w:spacing w:after="0" w:line="288" w:lineRule="auto"/>
        <w:ind w:left="360"/>
        <w:contextualSpacing w:val="0"/>
        <w:jc w:val="both"/>
        <w:rPr>
          <w:rFonts w:ascii="Times New Roman" w:hAnsi="Times New Roman"/>
          <w:sz w:val="24"/>
        </w:rPr>
      </w:pPr>
    </w:p>
    <w:p w14:paraId="40B0144B" w14:textId="2EB8B0A7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1.1.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>Показатель уровня эксплуатационной доступности комплексов ФВФ нарушений ПДД</w:t>
      </w:r>
      <w:r w:rsidR="00B432DA" w:rsidRPr="00E37FC5">
        <w:rPr>
          <w:rFonts w:ascii="Times New Roman" w:hAnsi="Times New Roman"/>
          <w:sz w:val="24"/>
        </w:rPr>
        <w:t xml:space="preserve"> </w:t>
      </w:r>
    </w:p>
    <w:p w14:paraId="3E0764C0" w14:textId="77777777" w:rsidR="00AB0B34" w:rsidRDefault="00B432DA">
      <w:pPr>
        <w:pStyle w:val="14"/>
        <w:widowControl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Показатель уровня эксплуатационной доступности комплексов ФВФ нарушений ПДД определяется исходя из числа дней работоспособности каждого комплекса соответствующей системы на протяжении отчетного периода:</w:t>
      </w:r>
    </w:p>
    <w:p w14:paraId="3CB0FBFB" w14:textId="7F1F64A3" w:rsidR="00AB0B34" w:rsidRDefault="00D503AA">
      <w:pPr>
        <w:spacing w:before="120" w:after="0" w:line="288" w:lineRule="auto"/>
        <w:ind w:firstLine="709"/>
        <w:jc w:val="both"/>
        <w:rPr>
          <w:rFonts w:ascii="Times New Roman" w:hAnsi="Times New Roman"/>
          <w:sz w:val="29"/>
        </w:rPr>
      </w:pPr>
      <m:oMath>
        <m:r>
          <m:rPr>
            <m:sty m:val="b"/>
          </m:rPr>
          <w:rPr>
            <w:rFonts w:ascii="Cambria Math" w:hAnsi="Cambria Math"/>
            <w:sz w:val="24"/>
          </w:rPr>
          <m:t>SLA</m:t>
        </m:r>
        <m:r>
          <m:rPr>
            <m:sty m:val="p"/>
          </m:rPr>
          <w:rPr>
            <w:rFonts w:ascii="Cambria Math" w:hAnsi="Cambria Math"/>
            <w:sz w:val="24"/>
          </w:rPr>
          <m:t>фвф</m:t>
        </m:r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4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ЧДР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ЧДР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+…+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ЧДР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</w:rPr>
              <m:t>)*100%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Число дней в месяце*N</m:t>
            </m:r>
          </m:den>
        </m:f>
      </m:oMath>
      <w:r w:rsidR="00B432DA">
        <w:rPr>
          <w:rFonts w:ascii="Times New Roman" w:hAnsi="Times New Roman"/>
          <w:sz w:val="29"/>
        </w:rPr>
        <w:t xml:space="preserve"> </w:t>
      </w:r>
      <w:r w:rsidR="00B432DA">
        <w:rPr>
          <w:rFonts w:ascii="Times New Roman" w:hAnsi="Times New Roman"/>
          <w:sz w:val="24"/>
        </w:rPr>
        <w:t>, где</w:t>
      </w:r>
      <w:r w:rsidR="00B432DA">
        <w:rPr>
          <w:rFonts w:ascii="Times New Roman" w:hAnsi="Times New Roman"/>
          <w:sz w:val="29"/>
        </w:rPr>
        <w:t xml:space="preserve"> </w:t>
      </w:r>
    </w:p>
    <w:p w14:paraId="6CBFAB0A" w14:textId="77777777" w:rsidR="00AB0B34" w:rsidRDefault="00B432DA">
      <w:pPr>
        <w:pStyle w:val="a6"/>
        <w:spacing w:before="120" w:after="0" w:line="288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«SLA</w:t>
      </w:r>
      <w:r>
        <w:rPr>
          <w:rFonts w:ascii="Times New Roman" w:hAnsi="Times New Roman"/>
          <w:sz w:val="24"/>
          <w:vertAlign w:val="subscript"/>
        </w:rPr>
        <w:t>фвф</w:t>
      </w:r>
      <w:r>
        <w:rPr>
          <w:rFonts w:ascii="Times New Roman" w:hAnsi="Times New Roman"/>
          <w:sz w:val="24"/>
        </w:rPr>
        <w:t>» – показатель уровня эксплуатационной доступности системы ФВФ;</w:t>
      </w:r>
    </w:p>
    <w:p w14:paraId="10119D31" w14:textId="77777777" w:rsidR="00AB0B34" w:rsidRDefault="00B432DA">
      <w:pPr>
        <w:pStyle w:val="a6"/>
        <w:spacing w:before="120" w:after="0" w:line="288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«ЧДР </w:t>
      </w:r>
      <w:r>
        <w:rPr>
          <w:rFonts w:ascii="Times New Roman" w:hAnsi="Times New Roman"/>
          <w:sz w:val="24"/>
          <w:vertAlign w:val="subscript"/>
        </w:rPr>
        <w:t>1,2…N</w:t>
      </w:r>
      <w:r>
        <w:rPr>
          <w:rFonts w:ascii="Times New Roman" w:hAnsi="Times New Roman"/>
          <w:sz w:val="24"/>
        </w:rPr>
        <w:t>» – число дней работоспособности каждого комплекса ФВФ нарушений ПДД, входящего в состав Объекта Соглашения;</w:t>
      </w:r>
    </w:p>
    <w:p w14:paraId="0EC80C56" w14:textId="77777777" w:rsidR="00AB0B34" w:rsidRDefault="00B432DA">
      <w:pPr>
        <w:pStyle w:val="a6"/>
        <w:spacing w:before="120" w:after="0" w:line="288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«Число дней в месяце» – количество дней отчетного периода, в котором рассчитывается SLA</w:t>
      </w:r>
      <w:r>
        <w:rPr>
          <w:rFonts w:ascii="Times New Roman" w:hAnsi="Times New Roman"/>
          <w:sz w:val="24"/>
          <w:vertAlign w:val="subscript"/>
        </w:rPr>
        <w:t>фвф</w:t>
      </w:r>
      <w:r>
        <w:rPr>
          <w:rFonts w:ascii="Times New Roman" w:hAnsi="Times New Roman"/>
          <w:sz w:val="24"/>
        </w:rPr>
        <w:t>.</w:t>
      </w:r>
    </w:p>
    <w:p w14:paraId="2B8E072D" w14:textId="77777777" w:rsidR="00AB0B34" w:rsidRDefault="00B432DA">
      <w:pPr>
        <w:pStyle w:val="a6"/>
        <w:spacing w:before="120" w:after="0" w:line="288" w:lineRule="auto"/>
        <w:ind w:left="1003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 – количество введенных в эксплуатацию комплексов ФВФ.</w:t>
      </w:r>
    </w:p>
    <w:p w14:paraId="02B60B37" w14:textId="77777777" w:rsidR="00AB0B34" w:rsidRDefault="00AB0B34">
      <w:pPr>
        <w:pStyle w:val="a6"/>
        <w:spacing w:before="120" w:after="0" w:line="288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</w:p>
    <w:p w14:paraId="1CD8E37F" w14:textId="6D98C790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1.2.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>Критерии работоспособности комплексов ФВФ нарушений ПДД</w:t>
      </w:r>
    </w:p>
    <w:p w14:paraId="479C408D" w14:textId="77777777" w:rsidR="00AB0B34" w:rsidRDefault="00B432DA">
      <w:pPr>
        <w:pStyle w:val="14"/>
        <w:widowControl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Критерии работоспособности комплексов ФВФ нарушений ПДД определяется по следующим параметрам:</w:t>
      </w:r>
    </w:p>
    <w:p w14:paraId="506541A8" w14:textId="526C9980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>День работоспособности комплекса ФВФ нарушений ПДД</w:t>
      </w:r>
      <w:r w:rsidR="00B432DA" w:rsidRPr="00E37FC5">
        <w:rPr>
          <w:rFonts w:ascii="Times New Roman" w:hAnsi="Times New Roman"/>
          <w:sz w:val="24"/>
        </w:rPr>
        <w:t xml:space="preserve"> - календарный день (24 часа) в отчетном периоде, в течение которого комплекс соответствует заданным критериям работоспособности, либо в отношении которого производятся Восстановительные работы в сроки, установленные пунктом 1.3.2 настоящего Приложения;</w:t>
      </w:r>
    </w:p>
    <w:p w14:paraId="57949B1A" w14:textId="5C793DE8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>Неработоспособность комплекса ФВФ нарушений ПДД</w:t>
      </w:r>
      <w:r w:rsidR="00B432DA" w:rsidRPr="00E37FC5">
        <w:rPr>
          <w:rFonts w:ascii="Times New Roman" w:hAnsi="Times New Roman"/>
          <w:sz w:val="24"/>
        </w:rPr>
        <w:t xml:space="preserve"> в течение календарного дня (24 часа) - отсутствие данных o зафиксированных проездах транспортных средств (информации о транспортных средствах в зоне контроля) в информационной базе проездов и независимой системе отчетности непрерывно на протяжении 24 часов;</w:t>
      </w:r>
    </w:p>
    <w:p w14:paraId="7B0F22D0" w14:textId="26BD7473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>Отчетный период</w:t>
      </w:r>
      <w:r w:rsidR="00B432DA" w:rsidRPr="00E37FC5">
        <w:rPr>
          <w:rFonts w:ascii="Times New Roman" w:hAnsi="Times New Roman"/>
          <w:sz w:val="24"/>
        </w:rPr>
        <w:t xml:space="preserve"> – календарный месяц.</w:t>
      </w:r>
    </w:p>
    <w:p w14:paraId="0EB774C2" w14:textId="10839681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1.3.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>Регламентные и восстановительные работы</w:t>
      </w:r>
    </w:p>
    <w:p w14:paraId="2F06FF3C" w14:textId="40F8F363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1.3.1.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>Регламентные работы</w:t>
      </w:r>
    </w:p>
    <w:p w14:paraId="3A7A6296" w14:textId="77777777" w:rsidR="00AB0B34" w:rsidRDefault="00B432DA">
      <w:pPr>
        <w:pStyle w:val="14"/>
        <w:widowControl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Время регламентных (запланированных заранее и согласованных с Концедентом) работ, проведение которых предусмотрено документацией об эксплуатации комплекса </w:t>
      </w:r>
      <w:bookmarkStart w:id="0" w:name="_Hlk80619698"/>
      <w:r>
        <w:rPr>
          <w:rFonts w:ascii="Times New Roman" w:hAnsi="Times New Roman"/>
          <w:sz w:val="24"/>
        </w:rPr>
        <w:t>ФВФ нарушений ПДД</w:t>
      </w:r>
      <w:bookmarkEnd w:id="0"/>
      <w:r>
        <w:rPr>
          <w:rFonts w:ascii="Times New Roman" w:hAnsi="Times New Roman"/>
          <w:sz w:val="24"/>
        </w:rPr>
        <w:t>, а также время проведения работ по поверке оборудования не учитываются для целей определения времени неработоспособности.</w:t>
      </w:r>
    </w:p>
    <w:p w14:paraId="0424DA67" w14:textId="77777777" w:rsidR="00AB0B34" w:rsidRDefault="00B432DA">
      <w:pPr>
        <w:pStyle w:val="14"/>
        <w:widowControl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Для каждого комплекса ФВФ нарушений ПДД время регламентных работ - не более 30 часов в месяц на один комплекс. </w:t>
      </w:r>
    </w:p>
    <w:p w14:paraId="14DB66F4" w14:textId="394B80C9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1.3.2.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>Восстановительные работы</w:t>
      </w:r>
      <w:r w:rsidR="00B432DA" w:rsidRPr="00E37FC5">
        <w:rPr>
          <w:rFonts w:ascii="Times New Roman" w:hAnsi="Times New Roman"/>
          <w:sz w:val="24"/>
        </w:rPr>
        <w:t xml:space="preserve"> </w:t>
      </w:r>
    </w:p>
    <w:p w14:paraId="400967B2" w14:textId="5C2C4325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1.3.2.1.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>Восстановление работоспособности комплекса ФВФ нарушений ПДД в случае наступления неработоспособности по вине 3-х лиц или независящим от Концессионера причинам не учитываются для целей определения времени неработоспособности и осуществляется:</w:t>
      </w:r>
    </w:p>
    <w:p w14:paraId="608B4434" w14:textId="59C46AB6" w:rsidR="008F5C66" w:rsidRDefault="008F5C66" w:rsidP="008F5C66">
      <w:pPr>
        <w:pStyle w:val="a6"/>
        <w:spacing w:before="120" w:after="0" w:line="288" w:lineRule="auto"/>
        <w:ind w:left="709"/>
        <w:contextualSpacing w:val="0"/>
        <w:jc w:val="both"/>
        <w:rPr>
          <w:rFonts w:ascii="Times New Roman" w:hAnsi="Times New Roman"/>
          <w:sz w:val="24"/>
        </w:rPr>
      </w:pPr>
    </w:p>
    <w:p w14:paraId="5F3EB091" w14:textId="77777777" w:rsidR="008F5C66" w:rsidRDefault="008F5C66" w:rsidP="008F5C66">
      <w:pPr>
        <w:pStyle w:val="a6"/>
        <w:spacing w:before="120" w:after="0" w:line="288" w:lineRule="auto"/>
        <w:ind w:left="709"/>
        <w:contextualSpacing w:val="0"/>
        <w:jc w:val="both"/>
        <w:rPr>
          <w:rFonts w:ascii="Times New Roman" w:hAnsi="Times New Roman"/>
          <w:sz w:val="24"/>
        </w:rPr>
      </w:pPr>
    </w:p>
    <w:p w14:paraId="43DBF553" w14:textId="2D5A161F" w:rsidR="00AB0B34" w:rsidRDefault="00E37FC5" w:rsidP="00E37FC5">
      <w:pPr>
        <w:tabs>
          <w:tab w:val="left" w:pos="1134"/>
        </w:tabs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>
        <w:rPr>
          <w:rFonts w:ascii="Times New Roman" w:hAnsi="Times New Roman"/>
          <w:sz w:val="24"/>
        </w:rPr>
        <w:t>В течение 5 (</w:t>
      </w:r>
      <w:r w:rsidR="008F5C66">
        <w:rPr>
          <w:rFonts w:ascii="Times New Roman" w:hAnsi="Times New Roman"/>
          <w:sz w:val="24"/>
        </w:rPr>
        <w:t>п</w:t>
      </w:r>
      <w:r w:rsidR="00B432DA">
        <w:rPr>
          <w:rFonts w:ascii="Times New Roman" w:hAnsi="Times New Roman"/>
          <w:sz w:val="24"/>
        </w:rPr>
        <w:t xml:space="preserve">яти) </w:t>
      </w:r>
      <w:r w:rsidR="008F5C66">
        <w:rPr>
          <w:rFonts w:ascii="Times New Roman" w:hAnsi="Times New Roman"/>
          <w:sz w:val="24"/>
        </w:rPr>
        <w:t>р</w:t>
      </w:r>
      <w:r w:rsidR="00B432DA">
        <w:rPr>
          <w:rFonts w:ascii="Times New Roman" w:hAnsi="Times New Roman"/>
          <w:sz w:val="24"/>
        </w:rPr>
        <w:t>абочих дней - в случае повреждения только комплекса ФВФ нарушений ПДД (без повреждения крепежных конструкций). Срок восстановления может быть продлён на срок необходимый для проведения процессуальных действий уполномоченными органами государственной власти;</w:t>
      </w:r>
    </w:p>
    <w:p w14:paraId="685F4CF0" w14:textId="291F35A7" w:rsidR="00AB0B34" w:rsidRDefault="00E37FC5" w:rsidP="00E37FC5">
      <w:pPr>
        <w:tabs>
          <w:tab w:val="left" w:pos="1134"/>
        </w:tabs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>
        <w:rPr>
          <w:rFonts w:ascii="Times New Roman" w:hAnsi="Times New Roman"/>
          <w:sz w:val="24"/>
        </w:rPr>
        <w:t>10 (</w:t>
      </w:r>
      <w:r w:rsidR="008F5C66">
        <w:rPr>
          <w:rFonts w:ascii="Times New Roman" w:hAnsi="Times New Roman"/>
          <w:sz w:val="24"/>
        </w:rPr>
        <w:t>д</w:t>
      </w:r>
      <w:r w:rsidR="00B432DA">
        <w:rPr>
          <w:rFonts w:ascii="Times New Roman" w:hAnsi="Times New Roman"/>
          <w:sz w:val="24"/>
        </w:rPr>
        <w:t xml:space="preserve">есять) </w:t>
      </w:r>
      <w:r w:rsidR="008F5C66">
        <w:rPr>
          <w:rFonts w:ascii="Times New Roman" w:hAnsi="Times New Roman"/>
          <w:sz w:val="24"/>
        </w:rPr>
        <w:t>р</w:t>
      </w:r>
      <w:r w:rsidR="00B432DA">
        <w:rPr>
          <w:rFonts w:ascii="Times New Roman" w:hAnsi="Times New Roman"/>
          <w:sz w:val="24"/>
        </w:rPr>
        <w:t>абочих дней - в случае повреждения крепежных конструкций, на которых расположен комплекс ФВФ нарушений ПДД (без повреждения искусственных дорожных сооружений);</w:t>
      </w:r>
    </w:p>
    <w:p w14:paraId="2B178096" w14:textId="0A98F5ED" w:rsidR="00AB0B34" w:rsidRDefault="00E37FC5" w:rsidP="00E37FC5">
      <w:pPr>
        <w:tabs>
          <w:tab w:val="left" w:pos="1134"/>
        </w:tabs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>
        <w:rPr>
          <w:rFonts w:ascii="Times New Roman" w:hAnsi="Times New Roman"/>
          <w:sz w:val="24"/>
        </w:rPr>
        <w:t>30 (</w:t>
      </w:r>
      <w:r w:rsidR="008F5C66">
        <w:rPr>
          <w:rFonts w:ascii="Times New Roman" w:hAnsi="Times New Roman"/>
          <w:sz w:val="24"/>
        </w:rPr>
        <w:t>т</w:t>
      </w:r>
      <w:r w:rsidR="00B432DA">
        <w:rPr>
          <w:rFonts w:ascii="Times New Roman" w:hAnsi="Times New Roman"/>
          <w:sz w:val="24"/>
        </w:rPr>
        <w:t>ридцать) календарных дней - в случае повреждения искусственных дорожных сооружений, на которых расположен комплекс ФВФ нарушений ПДД. При невозможности восстановления комплекса ФВФ нарушений ПДД на поврежденном искусственном дорожном сооружении в указанный срок, осуществляется релокация комплекса ФВФ нарушений ПДД в соответствии с условиями Соглашения;</w:t>
      </w:r>
    </w:p>
    <w:p w14:paraId="3FACB576" w14:textId="5041E271" w:rsidR="00AB0B34" w:rsidRDefault="00E37FC5" w:rsidP="00E37FC5">
      <w:pPr>
        <w:tabs>
          <w:tab w:val="left" w:pos="1134"/>
        </w:tabs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>
        <w:rPr>
          <w:rFonts w:ascii="Times New Roman" w:hAnsi="Times New Roman"/>
          <w:sz w:val="24"/>
        </w:rPr>
        <w:t>В срок, который необходим арендодателям каналов связи или поставщикам услуг электроснабжения, для восстановления работоспособности каналов связи, восстановления электроснабжения.</w:t>
      </w:r>
    </w:p>
    <w:p w14:paraId="5FBA47D5" w14:textId="77777777" w:rsidR="00AB0B34" w:rsidRDefault="00B432DA">
      <w:pPr>
        <w:pStyle w:val="14"/>
        <w:widowControl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Максимальный срок восстановления работоспособности комплекса ФВФ нарушений ПДД в случае наступления неработоспособности по вине третьих лиц продлевается в случае действия обстоятельств, препятствующих безопасному выполнению восстановительных работ, не зависящих от Концессионера, включая, но не ограничиваясь: опасные погодные условия (снижение видимости на дорогах, в том числе в результате образования тумана, снегопада, угрозы схода селей и лавин и иные подобные условия), режим повышенной готовности, чрезвычайное положение и иные обстоятельства, не зависящие от Концессионера, препятствующие безопасному выполнению работ.</w:t>
      </w:r>
    </w:p>
    <w:p w14:paraId="086299AA" w14:textId="77777777" w:rsidR="00AB0B34" w:rsidRDefault="00B432DA">
      <w:pPr>
        <w:pStyle w:val="14"/>
        <w:widowControl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Под независящими от Концессионера причинами понимается: </w:t>
      </w:r>
    </w:p>
    <w:p w14:paraId="49ADB5B8" w14:textId="0E00D040" w:rsidR="00AB0B34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>
        <w:rPr>
          <w:rFonts w:ascii="Times New Roman" w:hAnsi="Times New Roman"/>
          <w:sz w:val="24"/>
        </w:rPr>
        <w:t>Нарушение в работе каналов связи, при условии своевременной оплаты услуг связи;</w:t>
      </w:r>
    </w:p>
    <w:p w14:paraId="28213F11" w14:textId="07561F70" w:rsidR="00AB0B34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>
        <w:rPr>
          <w:rFonts w:ascii="Times New Roman" w:hAnsi="Times New Roman"/>
          <w:sz w:val="24"/>
        </w:rPr>
        <w:t>Нарушение электроснабжения;</w:t>
      </w:r>
    </w:p>
    <w:p w14:paraId="1E7D463F" w14:textId="2001FD10" w:rsidR="00AB0B34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>
        <w:rPr>
          <w:rFonts w:ascii="Times New Roman" w:hAnsi="Times New Roman"/>
          <w:sz w:val="24"/>
        </w:rPr>
        <w:t>Вандализм и (или) иные противоправные действия третьих лиц;</w:t>
      </w:r>
    </w:p>
    <w:p w14:paraId="46FC94E9" w14:textId="61D0BD7B" w:rsidR="00AB0B34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>
        <w:rPr>
          <w:rFonts w:ascii="Times New Roman" w:hAnsi="Times New Roman"/>
          <w:sz w:val="24"/>
        </w:rPr>
        <w:t>Повреждение крепёжных или опорных конструкций (опор, мостов, столбов), за исключением случаев связанных с применением некачественных крепёжных материалов, и нарушений, связанных с производством установки и крепления Комплексов;</w:t>
      </w:r>
    </w:p>
    <w:p w14:paraId="62E9870F" w14:textId="3437F578" w:rsidR="00AB0B34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>
        <w:rPr>
          <w:rFonts w:ascii="Times New Roman" w:hAnsi="Times New Roman"/>
          <w:sz w:val="24"/>
        </w:rPr>
        <w:t>Осуществление уполномоченными органами государственной власти действий, препятствующий установке и (или) использованию Комплекса, в том числе осуществление следственных и оперативных мероприятий направленных на выявление лиц, совершивших противоправные деяния, отказ или отложение согласования мероприятий, необходимых для организации дорожного движения на период проведения ремонтно-восстановительных работ;</w:t>
      </w:r>
    </w:p>
    <w:p w14:paraId="389788E6" w14:textId="77777777" w:rsidR="008F5C66" w:rsidRDefault="008F5C66" w:rsidP="008F5C66">
      <w:pPr>
        <w:spacing w:before="120" w:after="0" w:line="288" w:lineRule="auto"/>
        <w:ind w:left="709"/>
        <w:jc w:val="both"/>
        <w:rPr>
          <w:rFonts w:ascii="Times New Roman" w:hAnsi="Times New Roman"/>
          <w:sz w:val="24"/>
        </w:rPr>
      </w:pPr>
    </w:p>
    <w:p w14:paraId="33EF312D" w14:textId="03E99CFB" w:rsidR="00AB0B34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>
        <w:rPr>
          <w:rFonts w:ascii="Times New Roman" w:hAnsi="Times New Roman"/>
          <w:sz w:val="24"/>
        </w:rPr>
        <w:t>Повреждения Комплексов в результате осуществления дорожной деятельности;</w:t>
      </w:r>
    </w:p>
    <w:p w14:paraId="7A3E664F" w14:textId="707642B2" w:rsidR="00AB0B34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</w:t>
      </w:r>
      <w:r>
        <w:rPr>
          <w:rFonts w:ascii="Symbol" w:hAnsi="Symbol"/>
          <w:sz w:val="24"/>
        </w:rPr>
        <w:tab/>
      </w:r>
      <w:r w:rsidR="00B432DA">
        <w:rPr>
          <w:rFonts w:ascii="Times New Roman" w:hAnsi="Times New Roman"/>
          <w:sz w:val="24"/>
        </w:rPr>
        <w:t>Наступление Особых Обстоятельств, как установлено условиями Соглашения.</w:t>
      </w:r>
    </w:p>
    <w:p w14:paraId="46E7D22B" w14:textId="77777777" w:rsidR="00AB0B34" w:rsidRDefault="00B432DA">
      <w:pPr>
        <w:pStyle w:val="14"/>
        <w:widowControl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Наступление обстоятельств, указанных в настоящем пункте 1.3.2.1 фиксируется комиссией, состоящей из представителей Концессионера и Концедента, а при невозможности участия представителя Концедента – актом Концессионера с приложением к нему фото- и видеоматериалов, фиксирующих наличие соответствующих обстоятельств. </w:t>
      </w:r>
    </w:p>
    <w:p w14:paraId="4676A3FF" w14:textId="6ED4B024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1.3.2.2.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>Время восстановления работоспособности комплекса ФВФ нарушений ПДД в случае наступления неработоспособности по вине Концессионера или в результате технических неисправностей комплекса не должно превышать 48 часов для каждого комплекса.</w:t>
      </w:r>
    </w:p>
    <w:p w14:paraId="507E4873" w14:textId="524BD222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1.3.2.3.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В случае приостановки работы комплекса ФВФ нарушений ПДД по требованию </w:t>
      </w:r>
      <w:r w:rsidR="00025715" w:rsidRPr="00E37FC5">
        <w:rPr>
          <w:rFonts w:ascii="Times New Roman" w:hAnsi="Times New Roman"/>
          <w:sz w:val="24"/>
        </w:rPr>
        <w:t>г</w:t>
      </w:r>
      <w:r w:rsidR="00B432DA" w:rsidRPr="00E37FC5">
        <w:rPr>
          <w:rFonts w:ascii="Times New Roman" w:hAnsi="Times New Roman"/>
          <w:sz w:val="24"/>
        </w:rPr>
        <w:t>осударственных органов, в том числе на период восстановления утраченных и (или) поврежденных дорожных знаков и дорожной разметки, а также в случае изменения схемы организации дорожного движения, признается работоспособным, если в течение действия обстоятельств, указанных в пункте 1.3.2.3 настоящего Приложения, комплекс ФВФ нарушений ПДД соответствует требованиям указанным в пункте 1.2 настоящего Приложения.</w:t>
      </w:r>
    </w:p>
    <w:p w14:paraId="17AE4350" w14:textId="5A534F0F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1.3.2.4.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>При наступлении неработоспособности комплекса ФВФ нарушений ПДД Концессионер по своему усмотрению осуществляет ремонт комплекса ФВФ нарушений ПДД и (или) замену комплекса ФВФ нарушений ПДД на новый аналогичный.</w:t>
      </w:r>
    </w:p>
    <w:p w14:paraId="13591E3F" w14:textId="0028DA38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1.4.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>Функционирование Объекта Проекта</w:t>
      </w:r>
    </w:p>
    <w:p w14:paraId="5CEA039E" w14:textId="77777777" w:rsidR="00AB0B34" w:rsidRDefault="00B432DA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Функционирование Объекта Проекта обеспечивается с помощью обмена данными между элементами Объекта Соглашения.</w:t>
      </w:r>
    </w:p>
    <w:p w14:paraId="1899AF19" w14:textId="77777777" w:rsidR="00AB0B34" w:rsidRDefault="00B432DA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Пропускная способность каналов связи, обеспечивающих обмен данными, должна быть достаточной для обеспечения гарантированной передачи данных в соответствии с требованиями Приложения № 3 и Проектной Документации. </w:t>
      </w:r>
    </w:p>
    <w:p w14:paraId="5ADF1EBB" w14:textId="77777777" w:rsidR="00AB0B34" w:rsidRDefault="00B432DA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Передача данных должна быть бесперебойной в круглосуточном ежедневном режиме (24 часа в сутки, 7 дней в неделю) - при условии наличия работающих каналов связи.</w:t>
      </w:r>
    </w:p>
    <w:p w14:paraId="3CAAE52B" w14:textId="04FB4998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1.5.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>Качество эксплуатации программного обеспечения</w:t>
      </w:r>
    </w:p>
    <w:p w14:paraId="0326786B" w14:textId="77777777" w:rsidR="00AB0B34" w:rsidRDefault="00B432DA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Уровень эксплуатационной доступности программного обеспечения (объектов информационных технологий) в составе Объекта Соглашения рассчитывается ежемесячно и определяется как отношение времени доступности основного функционала объекта информационных технологий, определенного в Проектной Документации, к плановому времени работы программного обеспечения в отчетном периоде по формуле:</w:t>
      </w:r>
    </w:p>
    <w:p w14:paraId="75E65385" w14:textId="77777777" w:rsidR="00AB0B34" w:rsidRDefault="000F18D4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SLA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ПО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доступ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регламент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план</m:t>
                </m:r>
              </m:sub>
            </m:sSub>
          </m:den>
        </m:f>
        <m:r>
          <w:rPr>
            <w:rFonts w:ascii="Cambria Math" w:hAnsi="Cambria Math"/>
            <w:sz w:val="24"/>
          </w:rPr>
          <m:t>*100%</m:t>
        </m:r>
      </m:oMath>
      <w:r w:rsidR="00B432DA">
        <w:rPr>
          <w:rFonts w:ascii="Times New Roman" w:hAnsi="Times New Roman"/>
          <w:i/>
          <w:sz w:val="24"/>
        </w:rPr>
        <w:t xml:space="preserve"> ,</w:t>
      </w:r>
      <w:r w:rsidR="00B432DA">
        <w:rPr>
          <w:rFonts w:ascii="Times New Roman" w:hAnsi="Times New Roman"/>
          <w:sz w:val="24"/>
        </w:rPr>
        <w:t>где</w:t>
      </w:r>
    </w:p>
    <w:p w14:paraId="201F0D6E" w14:textId="77777777" w:rsidR="00AB0B34" w:rsidRDefault="00B432DA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SLA</w:t>
      </w:r>
      <w:r>
        <w:rPr>
          <w:rFonts w:ascii="Times New Roman" w:hAnsi="Times New Roman"/>
          <w:b/>
          <w:sz w:val="24"/>
          <w:vertAlign w:val="subscript"/>
        </w:rPr>
        <w:t>по</w:t>
      </w:r>
      <w:r>
        <w:rPr>
          <w:rFonts w:ascii="Times New Roman" w:hAnsi="Times New Roman"/>
          <w:b/>
          <w:sz w:val="24"/>
        </w:rPr>
        <w:t xml:space="preserve"> – </w:t>
      </w:r>
      <w:r>
        <w:rPr>
          <w:rFonts w:ascii="Times New Roman" w:hAnsi="Times New Roman"/>
          <w:sz w:val="24"/>
        </w:rPr>
        <w:t>уровень эксплуатационной доступности программного обеспечения;</w:t>
      </w:r>
    </w:p>
    <w:p w14:paraId="625305F5" w14:textId="77777777" w:rsidR="00AB0B34" w:rsidRDefault="00B432DA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</w:t>
      </w:r>
      <w:r>
        <w:rPr>
          <w:rFonts w:ascii="Times New Roman" w:hAnsi="Times New Roman"/>
          <w:b/>
          <w:sz w:val="24"/>
          <w:vertAlign w:val="subscript"/>
        </w:rPr>
        <w:t>доступ</w:t>
      </w:r>
      <w:r>
        <w:rPr>
          <w:rFonts w:ascii="Times New Roman" w:hAnsi="Times New Roman"/>
          <w:b/>
          <w:sz w:val="24"/>
        </w:rPr>
        <w:t xml:space="preserve"> – </w:t>
      </w:r>
      <w:r>
        <w:rPr>
          <w:rFonts w:ascii="Times New Roman" w:hAnsi="Times New Roman"/>
          <w:sz w:val="24"/>
        </w:rPr>
        <w:t>время фактической доступности основного функционала программного обеспечения по данным независимой системы отчетности в часах;</w:t>
      </w:r>
    </w:p>
    <w:p w14:paraId="26186F68" w14:textId="77777777" w:rsidR="00AB0B34" w:rsidRDefault="00B432DA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</w:t>
      </w:r>
      <w:r>
        <w:rPr>
          <w:rFonts w:ascii="Times New Roman" w:hAnsi="Times New Roman"/>
          <w:b/>
          <w:sz w:val="24"/>
          <w:vertAlign w:val="subscript"/>
        </w:rPr>
        <w:t>регламент</w:t>
      </w:r>
      <w:r>
        <w:rPr>
          <w:rFonts w:ascii="Times New Roman" w:hAnsi="Times New Roman"/>
          <w:b/>
          <w:sz w:val="24"/>
        </w:rPr>
        <w:t xml:space="preserve"> – </w:t>
      </w:r>
      <w:r>
        <w:rPr>
          <w:rFonts w:ascii="Times New Roman" w:hAnsi="Times New Roman"/>
          <w:sz w:val="24"/>
        </w:rPr>
        <w:t>фактическое время проведения регламентных и восстановительных работ, не превышающее 8 часов в месяц, если меньшее значение не установлено в Проектной Документации;</w:t>
      </w:r>
    </w:p>
    <w:p w14:paraId="1276B5BC" w14:textId="77777777" w:rsidR="00AB0B34" w:rsidRDefault="00B432DA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</w:t>
      </w:r>
      <w:r>
        <w:rPr>
          <w:rFonts w:ascii="Times New Roman" w:hAnsi="Times New Roman"/>
          <w:b/>
          <w:sz w:val="24"/>
          <w:vertAlign w:val="subscript"/>
        </w:rPr>
        <w:t>план</w:t>
      </w:r>
      <w:r>
        <w:rPr>
          <w:rFonts w:ascii="Times New Roman" w:hAnsi="Times New Roman"/>
          <w:b/>
          <w:sz w:val="24"/>
        </w:rPr>
        <w:t xml:space="preserve"> – </w:t>
      </w:r>
      <w:r>
        <w:rPr>
          <w:rFonts w:ascii="Times New Roman" w:hAnsi="Times New Roman"/>
          <w:sz w:val="24"/>
        </w:rPr>
        <w:t>Плановое время доступности программного обеспечения в часах, определяемое в соответствии с Проектной Документацией.</w:t>
      </w:r>
    </w:p>
    <w:p w14:paraId="6F26B5AD" w14:textId="4F605BCF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2.</w:t>
      </w:r>
      <w:r>
        <w:rPr>
          <w:rFonts w:ascii="Times New Roman" w:hAnsi="Times New Roman"/>
          <w:b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>Штрафы</w:t>
      </w:r>
    </w:p>
    <w:p w14:paraId="3B149985" w14:textId="49850CF3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2.1.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Порядок начисления </w:t>
      </w:r>
      <w:r w:rsidR="0002571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трафных </w:t>
      </w:r>
      <w:r w:rsidR="0002571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 xml:space="preserve">аллов, а также расчета и удержания </w:t>
      </w:r>
      <w:r w:rsidR="0002571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>трафов за случаи неисполнения или ненадлежащего исполнения Концессионером своих обязательств по Соглашению, указаны в настоящем Приложении.</w:t>
      </w:r>
    </w:p>
    <w:p w14:paraId="20525DE8" w14:textId="7B71728C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2.2.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Денежный эквивалент 1 (одного) </w:t>
      </w:r>
      <w:r w:rsidR="0002571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трафного </w:t>
      </w:r>
      <w:r w:rsidR="0002571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 xml:space="preserve">алла равен 0,001% (ноль целых одна тысячная процента) от размера </w:t>
      </w:r>
      <w:r w:rsidR="00025715" w:rsidRPr="00E37FC5">
        <w:rPr>
          <w:rFonts w:ascii="Times New Roman" w:hAnsi="Times New Roman"/>
          <w:sz w:val="24"/>
        </w:rPr>
        <w:t>п</w:t>
      </w:r>
      <w:r w:rsidR="00B432DA" w:rsidRPr="00E37FC5">
        <w:rPr>
          <w:rFonts w:ascii="Times New Roman" w:hAnsi="Times New Roman"/>
          <w:sz w:val="24"/>
        </w:rPr>
        <w:t xml:space="preserve">латы Концедента за </w:t>
      </w:r>
      <w:r w:rsidR="00025715" w:rsidRPr="00E37FC5">
        <w:rPr>
          <w:rFonts w:ascii="Times New Roman" w:hAnsi="Times New Roman"/>
          <w:sz w:val="24"/>
        </w:rPr>
        <w:t>р</w:t>
      </w:r>
      <w:r w:rsidR="00B432DA" w:rsidRPr="00E37FC5">
        <w:rPr>
          <w:rFonts w:ascii="Times New Roman" w:hAnsi="Times New Roman"/>
          <w:sz w:val="24"/>
        </w:rPr>
        <w:t xml:space="preserve">асчетный </w:t>
      </w:r>
      <w:r w:rsidR="00025715" w:rsidRPr="00E37FC5">
        <w:rPr>
          <w:rFonts w:ascii="Times New Roman" w:hAnsi="Times New Roman"/>
          <w:sz w:val="24"/>
        </w:rPr>
        <w:t>п</w:t>
      </w:r>
      <w:r w:rsidR="00B432DA" w:rsidRPr="00E37FC5">
        <w:rPr>
          <w:rFonts w:ascii="Times New Roman" w:hAnsi="Times New Roman"/>
          <w:sz w:val="24"/>
        </w:rPr>
        <w:t>ериод.</w:t>
      </w:r>
    </w:p>
    <w:p w14:paraId="12E957EA" w14:textId="4C9A4A80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2.3.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Общий размер </w:t>
      </w:r>
      <w:r w:rsidR="0002571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трафа, подлежащего удержанию из </w:t>
      </w:r>
      <w:r w:rsidR="00025715" w:rsidRPr="00E37FC5">
        <w:rPr>
          <w:rFonts w:ascii="Times New Roman" w:hAnsi="Times New Roman"/>
          <w:sz w:val="24"/>
        </w:rPr>
        <w:t>п</w:t>
      </w:r>
      <w:r w:rsidR="00B432DA" w:rsidRPr="00E37FC5">
        <w:rPr>
          <w:rFonts w:ascii="Times New Roman" w:hAnsi="Times New Roman"/>
          <w:sz w:val="24"/>
        </w:rPr>
        <w:t xml:space="preserve">латы Концедента, определяется путем умножения общего количества начисленных </w:t>
      </w:r>
      <w:r w:rsidR="0002571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трафных </w:t>
      </w:r>
      <w:r w:rsidR="0002571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 xml:space="preserve">аллов на денежный эквивалент одного </w:t>
      </w:r>
      <w:r w:rsidR="0002571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трафного </w:t>
      </w:r>
      <w:r w:rsidR="0002571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>алла на момент уведомления Концедентом Концессионера о выявленном нарушении.</w:t>
      </w:r>
    </w:p>
    <w:p w14:paraId="1CDE5C30" w14:textId="58C18896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2.4.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Для целей начисления </w:t>
      </w:r>
      <w:r w:rsidR="0002571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трафных </w:t>
      </w:r>
      <w:r w:rsidR="0002571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>аллов отчетным периодом признается календарный квартал.</w:t>
      </w:r>
    </w:p>
    <w:p w14:paraId="19836F69" w14:textId="585177BC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2.5.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Штрафные </w:t>
      </w:r>
      <w:r w:rsidR="0002571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 xml:space="preserve">аллы не начисляются Концессионеру за нарушения, которые были вызваны действием или бездействием третьего лица, не являющегося Лицом, </w:t>
      </w:r>
      <w:r w:rsidR="00025715" w:rsidRPr="00E37FC5">
        <w:rPr>
          <w:rFonts w:ascii="Times New Roman" w:hAnsi="Times New Roman"/>
          <w:sz w:val="24"/>
        </w:rPr>
        <w:t>о</w:t>
      </w:r>
      <w:r w:rsidR="00B432DA" w:rsidRPr="00E37FC5">
        <w:rPr>
          <w:rFonts w:ascii="Times New Roman" w:hAnsi="Times New Roman"/>
          <w:sz w:val="24"/>
        </w:rPr>
        <w:t xml:space="preserve">тносящимся к Концессионеру, неисполнением или ненадлежащим исполнением Концедентом его обязательств по Соглашению, возникли вследствие действия Особых Обстоятельств или </w:t>
      </w:r>
      <w:r w:rsidR="00025715" w:rsidRPr="00E37FC5">
        <w:rPr>
          <w:rFonts w:ascii="Times New Roman" w:hAnsi="Times New Roman"/>
          <w:sz w:val="24"/>
        </w:rPr>
        <w:t>о</w:t>
      </w:r>
      <w:r w:rsidR="00B432DA" w:rsidRPr="00E37FC5">
        <w:rPr>
          <w:rFonts w:ascii="Times New Roman" w:hAnsi="Times New Roman"/>
          <w:sz w:val="24"/>
        </w:rPr>
        <w:t xml:space="preserve">бстоятельств </w:t>
      </w:r>
      <w:r w:rsidR="00025715" w:rsidRPr="00E37FC5">
        <w:rPr>
          <w:rFonts w:ascii="Times New Roman" w:hAnsi="Times New Roman"/>
          <w:sz w:val="24"/>
        </w:rPr>
        <w:t>н</w:t>
      </w:r>
      <w:r w:rsidR="00B432DA" w:rsidRPr="00E37FC5">
        <w:rPr>
          <w:rFonts w:ascii="Times New Roman" w:hAnsi="Times New Roman"/>
          <w:sz w:val="24"/>
        </w:rPr>
        <w:t xml:space="preserve">епреодолимой </w:t>
      </w:r>
      <w:r w:rsidR="00025715" w:rsidRPr="00E37FC5">
        <w:rPr>
          <w:rFonts w:ascii="Times New Roman" w:hAnsi="Times New Roman"/>
          <w:sz w:val="24"/>
        </w:rPr>
        <w:t>с</w:t>
      </w:r>
      <w:r w:rsidR="00B432DA" w:rsidRPr="00E37FC5">
        <w:rPr>
          <w:rFonts w:ascii="Times New Roman" w:hAnsi="Times New Roman"/>
          <w:sz w:val="24"/>
        </w:rPr>
        <w:t xml:space="preserve">илы либо в иных случаях, предусмотренными Соглашением. В случае, если какой-либо случай неисполнения или ненадлежащего исполнения Концессионером своих обязательств по Соглашению согласно положениям настоящего Приложения может быть квалифицирован в качестве более чем одного нарушения, </w:t>
      </w:r>
      <w:r w:rsidR="0002571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трафные </w:t>
      </w:r>
      <w:r w:rsidR="0002571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>аллы начисляются только за одно нарушение (по выбору Концедента).</w:t>
      </w:r>
    </w:p>
    <w:p w14:paraId="6255DE0B" w14:textId="70BAECB2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2.6.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За исключением права Концедента на расторжение Соглашения, </w:t>
      </w:r>
      <w:r w:rsidR="0002571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>трафы являются исключительным и единственным видом возмещения, взимаемым с Концессионера Концедентом за нарушения, указанные в настоящем Приложении.</w:t>
      </w:r>
    </w:p>
    <w:p w14:paraId="1334301A" w14:textId="2D7DF7D7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3.</w:t>
      </w:r>
      <w:r>
        <w:rPr>
          <w:rFonts w:ascii="Times New Roman" w:hAnsi="Times New Roman"/>
          <w:b/>
          <w:sz w:val="24"/>
        </w:rPr>
        <w:tab/>
      </w:r>
      <w:r w:rsidR="00B432DA" w:rsidRPr="00E37FC5">
        <w:rPr>
          <w:rFonts w:ascii="Times New Roman" w:hAnsi="Times New Roman"/>
          <w:b/>
          <w:sz w:val="24"/>
        </w:rPr>
        <w:t xml:space="preserve">Начисление </w:t>
      </w:r>
      <w:r w:rsidR="00025715" w:rsidRPr="00E37FC5">
        <w:rPr>
          <w:rFonts w:ascii="Times New Roman" w:hAnsi="Times New Roman"/>
          <w:b/>
          <w:sz w:val="24"/>
        </w:rPr>
        <w:t>ш</w:t>
      </w:r>
      <w:r w:rsidR="00B432DA" w:rsidRPr="00E37FC5">
        <w:rPr>
          <w:rFonts w:ascii="Times New Roman" w:hAnsi="Times New Roman"/>
          <w:b/>
          <w:sz w:val="24"/>
        </w:rPr>
        <w:t xml:space="preserve">трафных </w:t>
      </w:r>
      <w:r w:rsidR="00025715" w:rsidRPr="00E37FC5">
        <w:rPr>
          <w:rFonts w:ascii="Times New Roman" w:hAnsi="Times New Roman"/>
          <w:b/>
          <w:sz w:val="24"/>
        </w:rPr>
        <w:t>б</w:t>
      </w:r>
      <w:r w:rsidR="00B432DA" w:rsidRPr="00E37FC5">
        <w:rPr>
          <w:rFonts w:ascii="Times New Roman" w:hAnsi="Times New Roman"/>
          <w:b/>
          <w:sz w:val="24"/>
        </w:rPr>
        <w:t xml:space="preserve">аллов и удержание </w:t>
      </w:r>
      <w:r w:rsidR="00025715" w:rsidRPr="00E37FC5">
        <w:rPr>
          <w:rFonts w:ascii="Times New Roman" w:hAnsi="Times New Roman"/>
          <w:b/>
          <w:sz w:val="24"/>
        </w:rPr>
        <w:t>ш</w:t>
      </w:r>
      <w:r w:rsidR="00B432DA" w:rsidRPr="00E37FC5">
        <w:rPr>
          <w:rFonts w:ascii="Times New Roman" w:hAnsi="Times New Roman"/>
          <w:b/>
          <w:sz w:val="24"/>
        </w:rPr>
        <w:t>трафов</w:t>
      </w:r>
    </w:p>
    <w:p w14:paraId="542622B2" w14:textId="6B4E73A6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3.1.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За каждое нарушение подлежит начислению только то количество </w:t>
      </w:r>
      <w:r w:rsidR="0002571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трафных </w:t>
      </w:r>
      <w:r w:rsidR="0002571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>аллов, которое указано в соответствующей настоящем Приложении к Соглашению.</w:t>
      </w:r>
    </w:p>
    <w:p w14:paraId="560DEAEB" w14:textId="4DE17F1C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3.2.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За каждое нарушение </w:t>
      </w:r>
      <w:r w:rsidR="0002571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трафные </w:t>
      </w:r>
      <w:r w:rsidR="0002571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>аллы начисляются один раз.</w:t>
      </w:r>
    </w:p>
    <w:p w14:paraId="6EFA148E" w14:textId="1F8811B9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3.3.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При выявлении нарушения Концедент направляет Концессионеру уведомление о наличии соответствующего нарушения с описанием каждого факта и всех существенных обстоятельств (места, времени, и т.д.) нарушения, а также с указанием количества </w:t>
      </w:r>
      <w:r w:rsidR="00E71837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трафных </w:t>
      </w:r>
      <w:r w:rsidR="00E71837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 xml:space="preserve">аллов, подлежащих начислению, и соответствующей начисляемым </w:t>
      </w:r>
      <w:r w:rsidR="00E71837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трафным </w:t>
      </w:r>
      <w:r w:rsidR="00E71837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 xml:space="preserve">аллам суммы </w:t>
      </w:r>
      <w:r w:rsidR="00C4176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трафа, подлежащей удержанию из </w:t>
      </w:r>
      <w:r w:rsidR="00C41765" w:rsidRPr="00E37FC5">
        <w:rPr>
          <w:rFonts w:ascii="Times New Roman" w:hAnsi="Times New Roman"/>
          <w:sz w:val="24"/>
        </w:rPr>
        <w:t>п</w:t>
      </w:r>
      <w:r w:rsidR="00B432DA" w:rsidRPr="00E37FC5">
        <w:rPr>
          <w:rFonts w:ascii="Times New Roman" w:hAnsi="Times New Roman"/>
          <w:sz w:val="24"/>
        </w:rPr>
        <w:t>латы Концедента (в каждом случае с приложением расчета).</w:t>
      </w:r>
    </w:p>
    <w:p w14:paraId="0AF38DF7" w14:textId="6B5B381B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3.4.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>В течение 10 (</w:t>
      </w:r>
      <w:r w:rsidR="00C41765" w:rsidRPr="00E37FC5">
        <w:rPr>
          <w:rFonts w:ascii="Times New Roman" w:hAnsi="Times New Roman"/>
          <w:sz w:val="24"/>
        </w:rPr>
        <w:t>д</w:t>
      </w:r>
      <w:r w:rsidR="00B432DA" w:rsidRPr="00E37FC5">
        <w:rPr>
          <w:rFonts w:ascii="Times New Roman" w:hAnsi="Times New Roman"/>
          <w:sz w:val="24"/>
        </w:rPr>
        <w:t xml:space="preserve">есяти) </w:t>
      </w:r>
      <w:r w:rsidR="00C41765" w:rsidRPr="00E37FC5">
        <w:rPr>
          <w:rFonts w:ascii="Times New Roman" w:hAnsi="Times New Roman"/>
          <w:sz w:val="24"/>
        </w:rPr>
        <w:t>р</w:t>
      </w:r>
      <w:r w:rsidR="00B432DA" w:rsidRPr="00E37FC5">
        <w:rPr>
          <w:rFonts w:ascii="Times New Roman" w:hAnsi="Times New Roman"/>
          <w:sz w:val="24"/>
        </w:rPr>
        <w:t xml:space="preserve">абочих дней с момента получения уведомления о нарушении Концессионер вправе заявить возражение против наличия нарушения и (или) начисления </w:t>
      </w:r>
      <w:r w:rsidR="00C4176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трафных </w:t>
      </w:r>
      <w:r w:rsidR="00C4176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 xml:space="preserve">аллов и (или) количества начисленных </w:t>
      </w:r>
      <w:r w:rsidR="00C4176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трафных </w:t>
      </w:r>
      <w:r w:rsidR="00C4176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 xml:space="preserve">аллов и (или) суммы удерживаемых </w:t>
      </w:r>
      <w:r w:rsidR="00C4176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трафов. Если Концедент и Концессионер не смогут достичь согласия по любому такому вопросу в течение 10 (Десяти) Рабочих дней после заявления Концессионером соответствующего возражения, то любая из Сторон вправе передать </w:t>
      </w:r>
      <w:r w:rsidR="00C41765" w:rsidRPr="00E37FC5">
        <w:rPr>
          <w:rFonts w:ascii="Times New Roman" w:hAnsi="Times New Roman"/>
          <w:sz w:val="24"/>
        </w:rPr>
        <w:t>с</w:t>
      </w:r>
      <w:r w:rsidR="00B432DA" w:rsidRPr="00E37FC5">
        <w:rPr>
          <w:rFonts w:ascii="Times New Roman" w:hAnsi="Times New Roman"/>
          <w:sz w:val="24"/>
        </w:rPr>
        <w:t xml:space="preserve">пор на рассмотрение в соответствии с </w:t>
      </w:r>
      <w:r w:rsidR="00C41765" w:rsidRPr="00E37FC5">
        <w:rPr>
          <w:rFonts w:ascii="Times New Roman" w:hAnsi="Times New Roman"/>
          <w:sz w:val="24"/>
        </w:rPr>
        <w:t>п</w:t>
      </w:r>
      <w:r w:rsidR="00B432DA" w:rsidRPr="00E37FC5">
        <w:rPr>
          <w:rFonts w:ascii="Times New Roman" w:hAnsi="Times New Roman"/>
          <w:sz w:val="24"/>
        </w:rPr>
        <w:t xml:space="preserve">орядком </w:t>
      </w:r>
      <w:r w:rsidR="00C41765" w:rsidRPr="00E37FC5">
        <w:rPr>
          <w:rFonts w:ascii="Times New Roman" w:hAnsi="Times New Roman"/>
          <w:sz w:val="24"/>
        </w:rPr>
        <w:t>р</w:t>
      </w:r>
      <w:r w:rsidR="00B432DA" w:rsidRPr="00E37FC5">
        <w:rPr>
          <w:rFonts w:ascii="Times New Roman" w:hAnsi="Times New Roman"/>
          <w:sz w:val="24"/>
        </w:rPr>
        <w:t xml:space="preserve">азрешения </w:t>
      </w:r>
      <w:r w:rsidR="00C41765" w:rsidRPr="00E37FC5">
        <w:rPr>
          <w:rFonts w:ascii="Times New Roman" w:hAnsi="Times New Roman"/>
          <w:sz w:val="24"/>
        </w:rPr>
        <w:t>с</w:t>
      </w:r>
      <w:r w:rsidR="00B432DA" w:rsidRPr="00E37FC5">
        <w:rPr>
          <w:rFonts w:ascii="Times New Roman" w:hAnsi="Times New Roman"/>
          <w:sz w:val="24"/>
        </w:rPr>
        <w:t xml:space="preserve">поров и соответствующие </w:t>
      </w:r>
      <w:r w:rsidR="00C4176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трафные </w:t>
      </w:r>
      <w:r w:rsidR="00C4176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 xml:space="preserve">аллы не будут считаться начисленными, а </w:t>
      </w:r>
      <w:r w:rsidR="00C4176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трафы - подлежащими удержанию из </w:t>
      </w:r>
      <w:r w:rsidR="00C41765" w:rsidRPr="00E37FC5">
        <w:rPr>
          <w:rFonts w:ascii="Times New Roman" w:hAnsi="Times New Roman"/>
          <w:sz w:val="24"/>
        </w:rPr>
        <w:t>п</w:t>
      </w:r>
      <w:r w:rsidR="00B432DA" w:rsidRPr="00E37FC5">
        <w:rPr>
          <w:rFonts w:ascii="Times New Roman" w:hAnsi="Times New Roman"/>
          <w:sz w:val="24"/>
        </w:rPr>
        <w:t xml:space="preserve">латы Концедента, до вступления в силу решения, принятого в </w:t>
      </w:r>
      <w:r w:rsidR="00C41765" w:rsidRPr="00E37FC5">
        <w:rPr>
          <w:rFonts w:ascii="Times New Roman" w:hAnsi="Times New Roman"/>
          <w:sz w:val="24"/>
        </w:rPr>
        <w:t>п</w:t>
      </w:r>
      <w:r w:rsidR="00B432DA" w:rsidRPr="00E37FC5">
        <w:rPr>
          <w:rFonts w:ascii="Times New Roman" w:hAnsi="Times New Roman"/>
          <w:sz w:val="24"/>
        </w:rPr>
        <w:t xml:space="preserve">орядке Разрешения </w:t>
      </w:r>
      <w:r w:rsidR="00C41765" w:rsidRPr="00E37FC5">
        <w:rPr>
          <w:rFonts w:ascii="Times New Roman" w:hAnsi="Times New Roman"/>
          <w:sz w:val="24"/>
        </w:rPr>
        <w:t>с</w:t>
      </w:r>
      <w:r w:rsidR="00B432DA" w:rsidRPr="00E37FC5">
        <w:rPr>
          <w:rFonts w:ascii="Times New Roman" w:hAnsi="Times New Roman"/>
          <w:sz w:val="24"/>
        </w:rPr>
        <w:t>поров.</w:t>
      </w:r>
    </w:p>
    <w:p w14:paraId="3C99F24E" w14:textId="3C90C859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3.5.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За исключением случая, когда Концессионер оспаривает уведомление о нарушении в порядке, установленном пунктом 10, Стороны обязаны подписать акт, фиксирующий сумму начисленных </w:t>
      </w:r>
      <w:r w:rsidR="00C4176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трафных </w:t>
      </w:r>
      <w:r w:rsidR="00C4176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 xml:space="preserve">аллов и удерживаемых </w:t>
      </w:r>
      <w:r w:rsidR="00C4176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>трафов в течение 10 (</w:t>
      </w:r>
      <w:r w:rsidR="00C41765" w:rsidRPr="00E37FC5">
        <w:rPr>
          <w:rFonts w:ascii="Times New Roman" w:hAnsi="Times New Roman"/>
          <w:sz w:val="24"/>
        </w:rPr>
        <w:t>д</w:t>
      </w:r>
      <w:r w:rsidR="00B432DA" w:rsidRPr="00E37FC5">
        <w:rPr>
          <w:rFonts w:ascii="Times New Roman" w:hAnsi="Times New Roman"/>
          <w:sz w:val="24"/>
        </w:rPr>
        <w:t xml:space="preserve">есяти) </w:t>
      </w:r>
      <w:r w:rsidR="00C41765" w:rsidRPr="00E37FC5">
        <w:rPr>
          <w:rFonts w:ascii="Times New Roman" w:hAnsi="Times New Roman"/>
          <w:sz w:val="24"/>
        </w:rPr>
        <w:t>р</w:t>
      </w:r>
      <w:r w:rsidR="00B432DA" w:rsidRPr="00E37FC5">
        <w:rPr>
          <w:rFonts w:ascii="Times New Roman" w:hAnsi="Times New Roman"/>
          <w:sz w:val="24"/>
        </w:rPr>
        <w:t>абочих дней с момента получения Концессионером уведомления о нарушении.</w:t>
      </w:r>
    </w:p>
    <w:p w14:paraId="78F16F4D" w14:textId="7F68B8B8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3.6.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Штрафные </w:t>
      </w:r>
      <w:r w:rsidR="00C4176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 xml:space="preserve">аллы считаются начисленными для целей удержания </w:t>
      </w:r>
      <w:r w:rsidR="00C4176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трафов из </w:t>
      </w:r>
      <w:r w:rsidR="00C41765" w:rsidRPr="00E37FC5">
        <w:rPr>
          <w:rFonts w:ascii="Times New Roman" w:hAnsi="Times New Roman"/>
          <w:sz w:val="24"/>
        </w:rPr>
        <w:t>п</w:t>
      </w:r>
      <w:r w:rsidR="00B432DA" w:rsidRPr="00E37FC5">
        <w:rPr>
          <w:rFonts w:ascii="Times New Roman" w:hAnsi="Times New Roman"/>
          <w:sz w:val="24"/>
        </w:rPr>
        <w:t xml:space="preserve">латы Концедента, уплачиваемой Концедентом в порядке, установленном Соглашением с момента: (а) подписания Сторонами акта о начислении штрафа, либо (б) вступления в силу акта, которым разрешилось рассмотрение </w:t>
      </w:r>
      <w:r w:rsidR="00C41765" w:rsidRPr="00E37FC5">
        <w:rPr>
          <w:rFonts w:ascii="Times New Roman" w:hAnsi="Times New Roman"/>
          <w:sz w:val="24"/>
        </w:rPr>
        <w:t>с</w:t>
      </w:r>
      <w:r w:rsidR="00B432DA" w:rsidRPr="00E37FC5">
        <w:rPr>
          <w:rFonts w:ascii="Times New Roman" w:hAnsi="Times New Roman"/>
          <w:sz w:val="24"/>
        </w:rPr>
        <w:t>пора по существу в соответствии с пунктом 3.4 настоящего Приложения к Соглашению.</w:t>
      </w:r>
    </w:p>
    <w:p w14:paraId="6147DC6D" w14:textId="43371F64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3.7.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Суммы </w:t>
      </w:r>
      <w:r w:rsidR="00C4176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трафов, рассчитанные на основании начисленных </w:t>
      </w:r>
      <w:r w:rsidR="00C4176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трафных </w:t>
      </w:r>
      <w:r w:rsidR="00C41765" w:rsidRPr="00E37FC5">
        <w:rPr>
          <w:rFonts w:ascii="Times New Roman" w:hAnsi="Times New Roman"/>
          <w:sz w:val="24"/>
        </w:rPr>
        <w:t>б</w:t>
      </w:r>
      <w:r w:rsidR="00B432DA" w:rsidRPr="00E37FC5">
        <w:rPr>
          <w:rFonts w:ascii="Times New Roman" w:hAnsi="Times New Roman"/>
          <w:sz w:val="24"/>
        </w:rPr>
        <w:t xml:space="preserve">аллов, подлежат удержанию из </w:t>
      </w:r>
      <w:r w:rsidR="00C41765" w:rsidRPr="00E37FC5">
        <w:rPr>
          <w:rFonts w:ascii="Times New Roman" w:hAnsi="Times New Roman"/>
          <w:sz w:val="24"/>
        </w:rPr>
        <w:t>п</w:t>
      </w:r>
      <w:r w:rsidR="00B432DA" w:rsidRPr="00E37FC5">
        <w:rPr>
          <w:rFonts w:ascii="Times New Roman" w:hAnsi="Times New Roman"/>
          <w:sz w:val="24"/>
        </w:rPr>
        <w:t xml:space="preserve">латы Концедента. </w:t>
      </w:r>
    </w:p>
    <w:p w14:paraId="1CE01A64" w14:textId="5414A8CB" w:rsidR="00AB0B34" w:rsidRPr="00E37FC5" w:rsidRDefault="00E37FC5" w:rsidP="00E37FC5">
      <w:pPr>
        <w:spacing w:before="120" w:after="0" w:line="288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3.8.</w:t>
      </w:r>
      <w:r>
        <w:rPr>
          <w:rFonts w:ascii="Times New Roman" w:hAnsi="Times New Roman"/>
          <w:sz w:val="24"/>
        </w:rPr>
        <w:tab/>
      </w:r>
      <w:r w:rsidR="00B432DA" w:rsidRPr="00E37FC5">
        <w:rPr>
          <w:rFonts w:ascii="Times New Roman" w:hAnsi="Times New Roman"/>
          <w:sz w:val="24"/>
        </w:rPr>
        <w:t xml:space="preserve">Штрафы, которые не были удержаны из </w:t>
      </w:r>
      <w:r w:rsidR="00C41765" w:rsidRPr="00E37FC5">
        <w:rPr>
          <w:rFonts w:ascii="Times New Roman" w:hAnsi="Times New Roman"/>
          <w:sz w:val="24"/>
        </w:rPr>
        <w:t>п</w:t>
      </w:r>
      <w:r w:rsidR="00B432DA" w:rsidRPr="00E37FC5">
        <w:rPr>
          <w:rFonts w:ascii="Times New Roman" w:hAnsi="Times New Roman"/>
          <w:sz w:val="24"/>
        </w:rPr>
        <w:t>латы Концедента на Дату Прекращения Соглашения, подлежат уплате Концессионером Концеденту в согласованный Сторонами срок или, если такой срок не согласован, не позднее 60 (</w:t>
      </w:r>
      <w:r w:rsidR="00C41765" w:rsidRPr="00E37FC5">
        <w:rPr>
          <w:rFonts w:ascii="Times New Roman" w:hAnsi="Times New Roman"/>
          <w:sz w:val="24"/>
        </w:rPr>
        <w:t>ш</w:t>
      </w:r>
      <w:r w:rsidR="00B432DA" w:rsidRPr="00E37FC5">
        <w:rPr>
          <w:rFonts w:ascii="Times New Roman" w:hAnsi="Times New Roman"/>
          <w:sz w:val="24"/>
        </w:rPr>
        <w:t xml:space="preserve">естидесяти) календарных дней после </w:t>
      </w:r>
      <w:r w:rsidR="00C41765" w:rsidRPr="00E37FC5">
        <w:rPr>
          <w:rFonts w:ascii="Times New Roman" w:hAnsi="Times New Roman"/>
          <w:sz w:val="24"/>
        </w:rPr>
        <w:t>дня</w:t>
      </w:r>
      <w:r w:rsidR="00B432DA" w:rsidRPr="00E37FC5">
        <w:rPr>
          <w:rFonts w:ascii="Times New Roman" w:hAnsi="Times New Roman"/>
          <w:sz w:val="24"/>
        </w:rPr>
        <w:t xml:space="preserve"> </w:t>
      </w:r>
      <w:r w:rsidR="00C41765" w:rsidRPr="00E37FC5">
        <w:rPr>
          <w:rFonts w:ascii="Times New Roman" w:hAnsi="Times New Roman"/>
          <w:sz w:val="24"/>
        </w:rPr>
        <w:t>п</w:t>
      </w:r>
      <w:r w:rsidR="00B432DA" w:rsidRPr="00E37FC5">
        <w:rPr>
          <w:rFonts w:ascii="Times New Roman" w:hAnsi="Times New Roman"/>
          <w:sz w:val="24"/>
        </w:rPr>
        <w:t>рекращения Соглашения.</w:t>
      </w:r>
    </w:p>
    <w:p w14:paraId="5C612B2B" w14:textId="77777777" w:rsidR="00AB0B34" w:rsidRDefault="00AB0B34">
      <w:pPr>
        <w:spacing w:after="0" w:line="288" w:lineRule="auto"/>
        <w:jc w:val="both"/>
        <w:rPr>
          <w:rFonts w:ascii="Times New Roman" w:hAnsi="Times New Roman"/>
          <w:sz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0"/>
        <w:gridCol w:w="6020"/>
        <w:gridCol w:w="2735"/>
      </w:tblGrid>
      <w:tr w:rsidR="00AB0B34" w14:paraId="4D83F300" w14:textId="77777777">
        <w:trPr>
          <w:tblHeader/>
        </w:trPr>
        <w:tc>
          <w:tcPr>
            <w:tcW w:w="600" w:type="dxa"/>
            <w:tcBorders>
              <w:bottom w:val="single" w:sz="4" w:space="0" w:color="000000"/>
            </w:tcBorders>
            <w:vAlign w:val="center"/>
          </w:tcPr>
          <w:p w14:paraId="16C1FD58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0"/>
                <w:rFonts w:ascii="Times New Roman" w:hAnsi="Times New Roman"/>
                <w:b/>
                <w:sz w:val="24"/>
              </w:rPr>
            </w:pPr>
            <w:r>
              <w:rPr>
                <w:rStyle w:val="FontStyle1000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6020" w:type="dxa"/>
            <w:tcBorders>
              <w:bottom w:val="single" w:sz="4" w:space="0" w:color="000000"/>
            </w:tcBorders>
            <w:vAlign w:val="center"/>
          </w:tcPr>
          <w:p w14:paraId="2B20E1F3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284"/>
              <w:jc w:val="center"/>
              <w:rPr>
                <w:rStyle w:val="FontStyle1000"/>
                <w:rFonts w:ascii="Times New Roman" w:hAnsi="Times New Roman"/>
                <w:b/>
                <w:sz w:val="24"/>
              </w:rPr>
            </w:pPr>
            <w:r>
              <w:rPr>
                <w:rStyle w:val="FontStyle1000"/>
                <w:rFonts w:ascii="Times New Roman" w:hAnsi="Times New Roman"/>
                <w:b/>
                <w:sz w:val="24"/>
              </w:rPr>
              <w:t>Нарушение</w:t>
            </w:r>
          </w:p>
        </w:tc>
        <w:tc>
          <w:tcPr>
            <w:tcW w:w="2735" w:type="dxa"/>
            <w:tcBorders>
              <w:bottom w:val="single" w:sz="4" w:space="0" w:color="000000"/>
            </w:tcBorders>
            <w:vAlign w:val="center"/>
          </w:tcPr>
          <w:p w14:paraId="2788FDF9" w14:textId="0A7AB6E0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b/>
                <w:sz w:val="24"/>
              </w:rPr>
            </w:pPr>
            <w:r>
              <w:rPr>
                <w:rStyle w:val="FontStyle1000"/>
                <w:rFonts w:ascii="Times New Roman" w:hAnsi="Times New Roman"/>
                <w:b/>
                <w:sz w:val="24"/>
              </w:rPr>
              <w:t xml:space="preserve">Кол-во начисляемых </w:t>
            </w:r>
            <w:r w:rsidR="00C41765">
              <w:rPr>
                <w:rStyle w:val="FontStyle1000"/>
                <w:rFonts w:ascii="Times New Roman" w:hAnsi="Times New Roman"/>
                <w:b/>
                <w:sz w:val="24"/>
              </w:rPr>
              <w:t>ш</w:t>
            </w:r>
            <w:r>
              <w:rPr>
                <w:rStyle w:val="FontStyle1000"/>
                <w:rFonts w:ascii="Times New Roman" w:hAnsi="Times New Roman"/>
                <w:b/>
                <w:sz w:val="24"/>
              </w:rPr>
              <w:t>трафных Баллов</w:t>
            </w:r>
          </w:p>
        </w:tc>
      </w:tr>
      <w:tr w:rsidR="00AB0B34" w14:paraId="6DEE88AB" w14:textId="77777777">
        <w:tc>
          <w:tcPr>
            <w:tcW w:w="935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0E3405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b/>
                <w:sz w:val="24"/>
              </w:rPr>
            </w:pPr>
            <w:r>
              <w:rPr>
                <w:rStyle w:val="FontStyle1000"/>
                <w:rFonts w:ascii="Times New Roman" w:hAnsi="Times New Roman"/>
                <w:b/>
                <w:sz w:val="24"/>
              </w:rPr>
              <w:t>Нарушения, относящиеся к обязательствам Концессионера по выполнению показателей эффективности деятельности Концессионера, предусмотренных Приложением № 8 к Соглашению</w:t>
            </w:r>
          </w:p>
        </w:tc>
      </w:tr>
      <w:tr w:rsidR="00AB0B34" w14:paraId="5A3C71DB" w14:textId="77777777"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 w14:paraId="72FDF4B0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1.</w:t>
            </w:r>
          </w:p>
        </w:tc>
        <w:tc>
          <w:tcPr>
            <w:tcW w:w="6020" w:type="dxa"/>
            <w:tcBorders>
              <w:top w:val="single" w:sz="4" w:space="0" w:color="000000"/>
            </w:tcBorders>
            <w:vAlign w:val="center"/>
          </w:tcPr>
          <w:p w14:paraId="13A10BC9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Значение «</w:t>
            </w:r>
            <w:r>
              <w:rPr>
                <w:rFonts w:ascii="Times New Roman" w:hAnsi="Times New Roman"/>
                <w:sz w:val="24"/>
              </w:rPr>
              <w:t>Показатель уровня эксплуатационной доступности комплексов ФВФ нарушений ПДД»</w:t>
            </w:r>
            <w:r>
              <w:rPr>
                <w:rStyle w:val="FontStyle1000"/>
                <w:rFonts w:ascii="Times New Roman" w:hAnsi="Times New Roman"/>
                <w:sz w:val="24"/>
              </w:rPr>
              <w:t xml:space="preserve"> за отчетный период составило менее 95%:</w:t>
            </w:r>
          </w:p>
        </w:tc>
        <w:tc>
          <w:tcPr>
            <w:tcW w:w="2735" w:type="dxa"/>
            <w:tcBorders>
              <w:top w:val="single" w:sz="4" w:space="0" w:color="000000"/>
            </w:tcBorders>
            <w:vAlign w:val="center"/>
          </w:tcPr>
          <w:p w14:paraId="244DDDA3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100 баллов за каждый 1% ниже 95%</w:t>
            </w:r>
          </w:p>
        </w:tc>
      </w:tr>
      <w:tr w:rsidR="00AB0B34" w14:paraId="1348826D" w14:textId="77777777"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 w14:paraId="5BE8CEE0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2.</w:t>
            </w:r>
          </w:p>
        </w:tc>
        <w:tc>
          <w:tcPr>
            <w:tcW w:w="6020" w:type="dxa"/>
            <w:tcBorders>
              <w:top w:val="single" w:sz="4" w:space="0" w:color="000000"/>
            </w:tcBorders>
            <w:vAlign w:val="center"/>
          </w:tcPr>
          <w:p w14:paraId="0D554BEF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Значение </w:t>
            </w:r>
            <w:r>
              <w:t>«</w:t>
            </w:r>
            <w:r>
              <w:rPr>
                <w:rFonts w:ascii="Times New Roman" w:hAnsi="Times New Roman"/>
                <w:sz w:val="24"/>
              </w:rPr>
              <w:t>Качество эксплуатации программного обеспечения: доступность ПО»</w:t>
            </w:r>
            <w:r>
              <w:rPr>
                <w:rStyle w:val="FontStyle1000"/>
                <w:rFonts w:ascii="Times New Roman" w:hAnsi="Times New Roman"/>
                <w:sz w:val="24"/>
              </w:rPr>
              <w:t xml:space="preserve"> за отчетный период составило менее 99%:</w:t>
            </w:r>
          </w:p>
        </w:tc>
        <w:tc>
          <w:tcPr>
            <w:tcW w:w="2735" w:type="dxa"/>
            <w:tcBorders>
              <w:top w:val="single" w:sz="4" w:space="0" w:color="000000"/>
            </w:tcBorders>
            <w:vAlign w:val="center"/>
          </w:tcPr>
          <w:p w14:paraId="1C4EBA29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100 баллов за каждый 1% ниже 99%</w:t>
            </w:r>
          </w:p>
        </w:tc>
      </w:tr>
      <w:tr w:rsidR="00AB0B34" w14:paraId="344D6CC8" w14:textId="77777777"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 w14:paraId="5FC046AB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3.</w:t>
            </w:r>
          </w:p>
        </w:tc>
        <w:tc>
          <w:tcPr>
            <w:tcW w:w="6020" w:type="dxa"/>
            <w:tcBorders>
              <w:top w:val="single" w:sz="4" w:space="0" w:color="000000"/>
            </w:tcBorders>
            <w:vAlign w:val="center"/>
          </w:tcPr>
          <w:p w14:paraId="6E63FB5D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Несоблюдение любого из дополнительных показателей эксплуатационной доступности Объекта Соглашения</w:t>
            </w:r>
          </w:p>
        </w:tc>
        <w:tc>
          <w:tcPr>
            <w:tcW w:w="2735" w:type="dxa"/>
            <w:tcBorders>
              <w:top w:val="single" w:sz="4" w:space="0" w:color="000000"/>
            </w:tcBorders>
            <w:vAlign w:val="center"/>
          </w:tcPr>
          <w:p w14:paraId="0CAF188C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 xml:space="preserve">100 баллов за каждый случай несоблюдения </w:t>
            </w:r>
          </w:p>
        </w:tc>
      </w:tr>
      <w:tr w:rsidR="00AB0B34" w14:paraId="1EF8F6FF" w14:textId="77777777">
        <w:tc>
          <w:tcPr>
            <w:tcW w:w="935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952F7CB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b/>
                <w:sz w:val="24"/>
              </w:rPr>
            </w:pPr>
            <w:r>
              <w:rPr>
                <w:rStyle w:val="FontStyle1000"/>
                <w:rFonts w:ascii="Times New Roman" w:hAnsi="Times New Roman"/>
                <w:b/>
                <w:sz w:val="24"/>
              </w:rPr>
              <w:t>Нарушения, относящиеся к иным обязательствам Концессионера</w:t>
            </w:r>
          </w:p>
        </w:tc>
      </w:tr>
      <w:tr w:rsidR="00AB0B34" w14:paraId="362E73EE" w14:textId="77777777"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 w14:paraId="50285CB8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4.</w:t>
            </w:r>
          </w:p>
        </w:tc>
        <w:tc>
          <w:tcPr>
            <w:tcW w:w="6020" w:type="dxa"/>
            <w:tcBorders>
              <w:top w:val="single" w:sz="4" w:space="0" w:color="000000"/>
            </w:tcBorders>
            <w:vAlign w:val="center"/>
          </w:tcPr>
          <w:p w14:paraId="3779CEA5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 xml:space="preserve">Нарушение Концессионером своих обязательств о начале Эксплуатации Объекта Соглашения </w:t>
            </w:r>
          </w:p>
        </w:tc>
        <w:tc>
          <w:tcPr>
            <w:tcW w:w="2735" w:type="dxa"/>
            <w:tcBorders>
              <w:top w:val="single" w:sz="4" w:space="0" w:color="000000"/>
            </w:tcBorders>
            <w:vAlign w:val="center"/>
          </w:tcPr>
          <w:p w14:paraId="56F95493" w14:textId="77777777" w:rsidR="00AB0B34" w:rsidRDefault="00AB0B34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</w:p>
        </w:tc>
      </w:tr>
      <w:tr w:rsidR="00AB0B34" w14:paraId="30D5CCA4" w14:textId="77777777">
        <w:tc>
          <w:tcPr>
            <w:tcW w:w="600" w:type="dxa"/>
            <w:vAlign w:val="center"/>
          </w:tcPr>
          <w:p w14:paraId="2F2233D9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4.1</w:t>
            </w:r>
          </w:p>
        </w:tc>
        <w:tc>
          <w:tcPr>
            <w:tcW w:w="6020" w:type="dxa"/>
            <w:vAlign w:val="center"/>
          </w:tcPr>
          <w:p w14:paraId="4E2BE31F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Просрочка Концессионера на срок более 5 (Пяти) календарных дней, начиная с шестого дня просрочки.</w:t>
            </w:r>
          </w:p>
        </w:tc>
        <w:tc>
          <w:tcPr>
            <w:tcW w:w="2735" w:type="dxa"/>
            <w:vAlign w:val="center"/>
          </w:tcPr>
          <w:p w14:paraId="04B50D8F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50 баллов за каждый день просрочки</w:t>
            </w:r>
          </w:p>
        </w:tc>
      </w:tr>
      <w:tr w:rsidR="00AB0B34" w14:paraId="0252B0CC" w14:textId="77777777">
        <w:trPr>
          <w:trHeight w:val="1167"/>
        </w:trPr>
        <w:tc>
          <w:tcPr>
            <w:tcW w:w="600" w:type="dxa"/>
            <w:vAlign w:val="center"/>
          </w:tcPr>
          <w:p w14:paraId="15187112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4.2</w:t>
            </w:r>
          </w:p>
        </w:tc>
        <w:tc>
          <w:tcPr>
            <w:tcW w:w="6020" w:type="dxa"/>
            <w:vAlign w:val="center"/>
          </w:tcPr>
          <w:p w14:paraId="65B66992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Просрочка Концессионера на срок более 30 (Тридцати) календарных дней, начиная с тридцать первого дня просрочки.</w:t>
            </w:r>
          </w:p>
        </w:tc>
        <w:tc>
          <w:tcPr>
            <w:tcW w:w="2735" w:type="dxa"/>
            <w:vAlign w:val="center"/>
          </w:tcPr>
          <w:p w14:paraId="21FD026C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100 баллов за каждый день просрочки</w:t>
            </w:r>
          </w:p>
        </w:tc>
      </w:tr>
      <w:tr w:rsidR="00AB0B34" w14:paraId="38676879" w14:textId="77777777">
        <w:tc>
          <w:tcPr>
            <w:tcW w:w="600" w:type="dxa"/>
            <w:vAlign w:val="center"/>
          </w:tcPr>
          <w:p w14:paraId="39552121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5.</w:t>
            </w:r>
          </w:p>
        </w:tc>
        <w:tc>
          <w:tcPr>
            <w:tcW w:w="6020" w:type="dxa"/>
            <w:vAlign w:val="center"/>
          </w:tcPr>
          <w:p w14:paraId="11E4D07A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Нарушение Концессионером срока предоставления Концеденту оперативной отчетности.</w:t>
            </w:r>
          </w:p>
        </w:tc>
        <w:tc>
          <w:tcPr>
            <w:tcW w:w="2735" w:type="dxa"/>
            <w:vAlign w:val="center"/>
          </w:tcPr>
          <w:p w14:paraId="121E8881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10 баллов</w:t>
            </w:r>
          </w:p>
        </w:tc>
      </w:tr>
      <w:tr w:rsidR="00AB0B34" w14:paraId="7161B0FA" w14:textId="77777777">
        <w:tc>
          <w:tcPr>
            <w:tcW w:w="600" w:type="dxa"/>
            <w:vAlign w:val="center"/>
          </w:tcPr>
          <w:p w14:paraId="721FB8DB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6.</w:t>
            </w:r>
          </w:p>
        </w:tc>
        <w:tc>
          <w:tcPr>
            <w:tcW w:w="6020" w:type="dxa"/>
            <w:vAlign w:val="center"/>
          </w:tcPr>
          <w:p w14:paraId="46038DAA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Нарушение Концессионером срока предоставления Концеденту периодической отчетности.</w:t>
            </w:r>
          </w:p>
        </w:tc>
        <w:tc>
          <w:tcPr>
            <w:tcW w:w="2735" w:type="dxa"/>
            <w:vAlign w:val="center"/>
          </w:tcPr>
          <w:p w14:paraId="115E8003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50 баллов</w:t>
            </w:r>
          </w:p>
        </w:tc>
      </w:tr>
      <w:tr w:rsidR="00AB0B34" w14:paraId="354CFC42" w14:textId="77777777">
        <w:trPr>
          <w:trHeight w:val="983"/>
        </w:trPr>
        <w:tc>
          <w:tcPr>
            <w:tcW w:w="600" w:type="dxa"/>
            <w:vAlign w:val="center"/>
          </w:tcPr>
          <w:p w14:paraId="4BCF685F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7.</w:t>
            </w:r>
          </w:p>
        </w:tc>
        <w:tc>
          <w:tcPr>
            <w:tcW w:w="6020" w:type="dxa"/>
            <w:vAlign w:val="center"/>
          </w:tcPr>
          <w:p w14:paraId="6EE3E099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Полное прекращение Концессионером Эксплуатации Объекта Соглашения на срок 12 (Двенадцать) часов и более.</w:t>
            </w:r>
          </w:p>
        </w:tc>
        <w:tc>
          <w:tcPr>
            <w:tcW w:w="2735" w:type="dxa"/>
            <w:vAlign w:val="center"/>
          </w:tcPr>
          <w:p w14:paraId="372C307D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500 баллов за каждый день приостановки</w:t>
            </w:r>
          </w:p>
        </w:tc>
      </w:tr>
      <w:tr w:rsidR="00AB0B34" w14:paraId="4DED63AB" w14:textId="77777777">
        <w:trPr>
          <w:trHeight w:val="757"/>
        </w:trPr>
        <w:tc>
          <w:tcPr>
            <w:tcW w:w="600" w:type="dxa"/>
            <w:vAlign w:val="center"/>
          </w:tcPr>
          <w:p w14:paraId="65764970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8.</w:t>
            </w:r>
          </w:p>
        </w:tc>
        <w:tc>
          <w:tcPr>
            <w:tcW w:w="6020" w:type="dxa"/>
            <w:vAlign w:val="center"/>
          </w:tcPr>
          <w:p w14:paraId="05EC4940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Выявление Концедентом в оперативной и периодической отчетности Концессионера заведомо ложных сведений.</w:t>
            </w:r>
          </w:p>
        </w:tc>
        <w:tc>
          <w:tcPr>
            <w:tcW w:w="2735" w:type="dxa"/>
            <w:vAlign w:val="center"/>
          </w:tcPr>
          <w:p w14:paraId="54C2BD84" w14:textId="77777777" w:rsidR="00AB0B34" w:rsidRDefault="00B432DA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0"/>
                <w:rFonts w:ascii="Times New Roman" w:hAnsi="Times New Roman"/>
                <w:sz w:val="24"/>
              </w:rPr>
            </w:pPr>
            <w:r>
              <w:rPr>
                <w:rStyle w:val="FontStyle1000"/>
                <w:rFonts w:ascii="Times New Roman" w:hAnsi="Times New Roman"/>
                <w:sz w:val="24"/>
              </w:rPr>
              <w:t>100 баллов</w:t>
            </w:r>
          </w:p>
        </w:tc>
      </w:tr>
    </w:tbl>
    <w:p w14:paraId="2715747C" w14:textId="77777777" w:rsidR="00AB0B34" w:rsidRDefault="00AB0B34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04"/>
        <w:gridCol w:w="5019"/>
      </w:tblGrid>
      <w:tr w:rsidR="00AB0B34" w14:paraId="0A900BE1" w14:textId="77777777">
        <w:trPr>
          <w:trHeight w:val="585"/>
        </w:trPr>
        <w:tc>
          <w:tcPr>
            <w:tcW w:w="9923" w:type="dxa"/>
            <w:gridSpan w:val="2"/>
          </w:tcPr>
          <w:p w14:paraId="7D2278F5" w14:textId="77777777" w:rsidR="00AB0B34" w:rsidRDefault="00AB0B34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  <w:p w14:paraId="2E874CE3" w14:textId="77777777" w:rsidR="00AB0B34" w:rsidRDefault="00B432DA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179D59F0" w14:textId="77777777" w:rsidR="00AB0B34" w:rsidRDefault="00AB0B34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AB0B34" w14:paraId="7C42AB9E" w14:textId="77777777">
        <w:trPr>
          <w:trHeight w:val="1713"/>
        </w:trPr>
        <w:tc>
          <w:tcPr>
            <w:tcW w:w="4904" w:type="dxa"/>
          </w:tcPr>
          <w:p w14:paraId="53247959" w14:textId="0BDFBA20" w:rsidR="00AB0B34" w:rsidRDefault="00B432DA" w:rsidP="00B432DA">
            <w:pPr>
              <w:spacing w:after="0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От Концедента:</w:t>
            </w:r>
          </w:p>
          <w:p w14:paraId="39503787" w14:textId="1AD65C4E" w:rsidR="00AB0B34" w:rsidRDefault="00B432DA" w:rsidP="00B432DA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Министерство транспорта и дорожного хозяйства Вологодской области</w:t>
            </w:r>
          </w:p>
          <w:p w14:paraId="2C9FDCA0" w14:textId="77777777" w:rsidR="00B432DA" w:rsidRDefault="00B432DA" w:rsidP="00B432DA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20F4027E" w14:textId="4C105D56" w:rsidR="00B432DA" w:rsidRPr="00D503AA" w:rsidRDefault="00B432DA" w:rsidP="00B432DA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Министр</w:t>
            </w:r>
          </w:p>
          <w:p w14:paraId="556F1AF8" w14:textId="77777777" w:rsidR="00AB0B34" w:rsidRDefault="00AB0B34" w:rsidP="00B432DA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6D151723" w14:textId="77777777" w:rsidR="00AB0B34" w:rsidRPr="00D503AA" w:rsidRDefault="00AB0B34" w:rsidP="00B432DA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5D257906" w14:textId="38A35DAB" w:rsidR="00AB0B34" w:rsidRDefault="00B432DA" w:rsidP="00B432DA">
            <w:pPr>
              <w:spacing w:after="0"/>
              <w:ind w:left="176"/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_______________ /</w:t>
            </w:r>
            <w:r>
              <w:rPr>
                <w:rFonts w:ascii="Times New Roman" w:hAnsi="Times New Roman"/>
                <w:sz w:val="24"/>
              </w:rPr>
              <w:t>Борисов Д.В./</w:t>
            </w:r>
          </w:p>
        </w:tc>
        <w:tc>
          <w:tcPr>
            <w:tcW w:w="5019" w:type="dxa"/>
          </w:tcPr>
          <w:p w14:paraId="01A0B6D2" w14:textId="77777777" w:rsidR="00AB0B34" w:rsidRDefault="00B432DA" w:rsidP="00B432DA">
            <w:pPr>
              <w:spacing w:after="0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От Концессионера:</w:t>
            </w:r>
          </w:p>
          <w:p w14:paraId="0D924F63" w14:textId="77777777" w:rsidR="00AB0B34" w:rsidRDefault="00B432DA" w:rsidP="00B432DA">
            <w:pPr>
              <w:spacing w:after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Общество с ограниченной ответственностью «МВС»</w:t>
            </w:r>
          </w:p>
          <w:p w14:paraId="40FC4C2D" w14:textId="77777777" w:rsidR="00AB0B34" w:rsidRDefault="00AB0B34" w:rsidP="00B432DA">
            <w:pPr>
              <w:spacing w:after="0"/>
              <w:jc w:val="both"/>
              <w:rPr>
                <w:rFonts w:ascii="Times New Roman" w:hAnsi="Times New Roman"/>
                <w:sz w:val="24"/>
              </w:rPr>
            </w:pPr>
          </w:p>
          <w:p w14:paraId="2A033D11" w14:textId="77777777" w:rsidR="00AB0B34" w:rsidRDefault="00B432DA" w:rsidP="00B432DA">
            <w:pPr>
              <w:spacing w:after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Генеральный директор</w:t>
            </w:r>
          </w:p>
          <w:p w14:paraId="594A87BF" w14:textId="77777777" w:rsidR="00AB0B34" w:rsidRDefault="00AB0B34" w:rsidP="00B432DA">
            <w:pPr>
              <w:spacing w:after="0"/>
              <w:jc w:val="both"/>
              <w:rPr>
                <w:rFonts w:ascii="Times New Roman" w:hAnsi="Times New Roman"/>
                <w:sz w:val="24"/>
              </w:rPr>
            </w:pPr>
          </w:p>
          <w:p w14:paraId="6E4D304D" w14:textId="77777777" w:rsidR="00B432DA" w:rsidRDefault="00B432DA" w:rsidP="00B432DA">
            <w:pPr>
              <w:spacing w:after="0"/>
              <w:jc w:val="both"/>
              <w:rPr>
                <w:rFonts w:ascii="Times New Roman" w:hAnsi="Times New Roman"/>
                <w:sz w:val="24"/>
              </w:rPr>
            </w:pPr>
          </w:p>
          <w:p w14:paraId="1B468AAC" w14:textId="77777777" w:rsidR="00AB0B34" w:rsidRDefault="00B432DA" w:rsidP="00B432DA">
            <w:pPr>
              <w:spacing w:after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 /Хазов Д.В. /</w:t>
            </w:r>
          </w:p>
        </w:tc>
      </w:tr>
    </w:tbl>
    <w:p w14:paraId="24BEC303" w14:textId="77777777" w:rsidR="00AB0B34" w:rsidRDefault="00AB0B34" w:rsidP="00B432DA"/>
    <w:sectPr w:rsidR="00AB0B34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charset w:val="CC"/>
    <w:family w:val="roman"/>
    <w:pitch w:val="variable"/>
    <w:sig w:usb0="800002FF" w:usb1="0000084A" w:usb2="00000000" w:usb3="00000000" w:csb0="00000015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25FCA"/>
    <w:multiLevelType w:val="multilevel"/>
    <w:tmpl w:val="4A483E88"/>
    <w:lvl w:ilvl="0">
      <w:start w:val="1"/>
      <w:numFmt w:val="bullet"/>
      <w:lvlText w:val=""/>
      <w:lvlJc w:val="left"/>
      <w:pPr>
        <w:ind w:left="1494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93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5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7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9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1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53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54" w:hanging="360"/>
      </w:pPr>
      <w:rPr>
        <w:rFonts w:ascii="Wingdings" w:hAnsi="Wingdings"/>
      </w:rPr>
    </w:lvl>
  </w:abstractNum>
  <w:abstractNum w:abstractNumId="1" w15:restartNumberingAfterBreak="0">
    <w:nsid w:val="342D5F56"/>
    <w:multiLevelType w:val="multilevel"/>
    <w:tmpl w:val="80F012CC"/>
    <w:lvl w:ilvl="0">
      <w:start w:val="1"/>
      <w:numFmt w:val="bullet"/>
      <w:lvlText w:val=""/>
      <w:lvlJc w:val="left"/>
      <w:pPr>
        <w:ind w:left="1494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6D744AB5"/>
    <w:multiLevelType w:val="multilevel"/>
    <w:tmpl w:val="6A5E2D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20" w:hanging="420"/>
      </w:pPr>
      <w:rPr>
        <w:b w:val="0"/>
      </w:rPr>
    </w:lvl>
    <w:lvl w:ilvl="2">
      <w:start w:val="1"/>
      <w:numFmt w:val="decimal"/>
      <w:lvlText w:val="%1.%2.%3."/>
      <w:lvlJc w:val="left"/>
      <w:pPr>
        <w:ind w:left="862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1003" w:hanging="720"/>
      </w:pPr>
    </w:lvl>
    <w:lvl w:ilvl="4">
      <w:start w:val="1"/>
      <w:numFmt w:val="decimal"/>
      <w:lvlText w:val="%1.%2.%3.%4.%5."/>
      <w:lvlJc w:val="left"/>
      <w:pPr>
        <w:ind w:left="2007" w:hanging="1080"/>
      </w:pPr>
    </w:lvl>
    <w:lvl w:ilvl="5">
      <w:start w:val="1"/>
      <w:numFmt w:val="decimal"/>
      <w:lvlText w:val="%1.%2.%3.%4.%5.%6."/>
      <w:lvlJc w:val="left"/>
      <w:pPr>
        <w:ind w:left="2007" w:hanging="1080"/>
      </w:pPr>
    </w:lvl>
    <w:lvl w:ilvl="6">
      <w:start w:val="1"/>
      <w:numFmt w:val="decimal"/>
      <w:lvlText w:val="%1.%2.%3.%4.%5.%6.%7."/>
      <w:lvlJc w:val="left"/>
      <w:pPr>
        <w:ind w:left="2367" w:hanging="1440"/>
      </w:pPr>
    </w:lvl>
    <w:lvl w:ilvl="7">
      <w:start w:val="1"/>
      <w:numFmt w:val="decimal"/>
      <w:lvlText w:val="%1.%2.%3.%4.%5.%6.%7.%8."/>
      <w:lvlJc w:val="left"/>
      <w:pPr>
        <w:ind w:left="2367" w:hanging="1440"/>
      </w:pPr>
    </w:lvl>
    <w:lvl w:ilvl="8">
      <w:start w:val="1"/>
      <w:numFmt w:val="decimal"/>
      <w:lvlText w:val="%1.%2.%3.%4.%5.%6.%7.%8.%9."/>
      <w:lvlJc w:val="left"/>
      <w:pPr>
        <w:ind w:left="2727" w:hanging="1800"/>
      </w:pPr>
    </w:lvl>
  </w:abstractNum>
  <w:abstractNum w:abstractNumId="3" w15:restartNumberingAfterBreak="0">
    <w:nsid w:val="6E9770FA"/>
    <w:multiLevelType w:val="multilevel"/>
    <w:tmpl w:val="E912DD50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/>
      </w:rPr>
    </w:lvl>
  </w:abstractNum>
  <w:num w:numId="1" w16cid:durableId="1371804414">
    <w:abstractNumId w:val="2"/>
  </w:num>
  <w:num w:numId="2" w16cid:durableId="1528256778">
    <w:abstractNumId w:val="3"/>
  </w:num>
  <w:num w:numId="3" w16cid:durableId="337275565">
    <w:abstractNumId w:val="0"/>
  </w:num>
  <w:num w:numId="4" w16cid:durableId="2052265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34"/>
    <w:rsid w:val="00025715"/>
    <w:rsid w:val="00165D3C"/>
    <w:rsid w:val="008F5C66"/>
    <w:rsid w:val="009D26E5"/>
    <w:rsid w:val="00AA2012"/>
    <w:rsid w:val="00AB0B34"/>
    <w:rsid w:val="00B432DA"/>
    <w:rsid w:val="00C41765"/>
    <w:rsid w:val="00C45C7B"/>
    <w:rsid w:val="00D503AA"/>
    <w:rsid w:val="00E37FC5"/>
    <w:rsid w:val="00E71837"/>
    <w:rsid w:val="00FA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4D1A8"/>
  <w15:docId w15:val="{9ABBEF50-B6E5-40CB-BAE3-527A207A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after="200" w:line="276" w:lineRule="auto"/>
    </w:p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a3">
    <w:link w:val="a4"/>
    <w:semiHidden/>
    <w:unhideWhenUsed/>
    <w:pPr>
      <w:spacing w:after="0" w:line="240" w:lineRule="auto"/>
    </w:pPr>
  </w:style>
  <w:style w:type="character" w:customStyle="1" w:styleId="a4">
    <w:link w:val="a3"/>
    <w:semiHidden/>
    <w:unhideWhenUsed/>
  </w:style>
  <w:style w:type="paragraph" w:customStyle="1" w:styleId="12">
    <w:name w:val="Знак примечания1"/>
    <w:basedOn w:val="13"/>
    <w:link w:val="a5"/>
    <w:rPr>
      <w:sz w:val="16"/>
    </w:rPr>
  </w:style>
  <w:style w:type="character" w:styleId="a5">
    <w:name w:val="annotation reference"/>
    <w:basedOn w:val="a0"/>
    <w:link w:val="12"/>
    <w:rPr>
      <w:sz w:val="16"/>
    </w:rPr>
  </w:style>
  <w:style w:type="paragraph" w:styleId="a6">
    <w:name w:val="List Paragraph"/>
    <w:basedOn w:val="a"/>
    <w:link w:val="a7"/>
    <w:pPr>
      <w:ind w:left="720"/>
      <w:contextualSpacing/>
    </w:pPr>
  </w:style>
  <w:style w:type="character" w:customStyle="1" w:styleId="a7">
    <w:name w:val="Абзац списка Знак"/>
    <w:basedOn w:val="1"/>
    <w:link w:val="a6"/>
  </w:style>
  <w:style w:type="paragraph" w:styleId="a8">
    <w:name w:val="header"/>
    <w:basedOn w:val="a"/>
    <w:link w:val="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1"/>
    <w:link w:val="a8"/>
  </w:style>
  <w:style w:type="paragraph" w:customStyle="1" w:styleId="14">
    <w:name w:val="Абзац списка1"/>
    <w:basedOn w:val="a"/>
    <w:link w:val="15"/>
    <w:pPr>
      <w:ind w:left="720"/>
    </w:pPr>
    <w:rPr>
      <w:rFonts w:ascii="Calibri" w:hAnsi="Calibri"/>
    </w:rPr>
  </w:style>
  <w:style w:type="character" w:customStyle="1" w:styleId="15">
    <w:name w:val="Абзац списка1"/>
    <w:basedOn w:val="1"/>
    <w:link w:val="14"/>
    <w:rPr>
      <w:rFonts w:ascii="Calibri" w:hAnsi="Calibri"/>
    </w:rPr>
  </w:style>
  <w:style w:type="paragraph" w:styleId="aa">
    <w:name w:val="annotation text"/>
    <w:basedOn w:val="a"/>
    <w:link w:val="ab"/>
    <w:pPr>
      <w:spacing w:line="240" w:lineRule="auto"/>
    </w:pPr>
    <w:rPr>
      <w:sz w:val="20"/>
    </w:rPr>
  </w:style>
  <w:style w:type="character" w:customStyle="1" w:styleId="ab">
    <w:name w:val="Текст примечания Знак"/>
    <w:basedOn w:val="1"/>
    <w:link w:val="aa"/>
    <w:rPr>
      <w:sz w:val="20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6">
    <w:name w:val="Гиперссылка1"/>
    <w:link w:val="ac"/>
    <w:rPr>
      <w:color w:val="0000FF"/>
      <w:u w:val="single"/>
    </w:rPr>
  </w:style>
  <w:style w:type="character" w:styleId="ac">
    <w:name w:val="Hyperlink"/>
    <w:link w:val="16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7">
    <w:name w:val="toc 1"/>
    <w:next w:val="a"/>
    <w:link w:val="18"/>
    <w:uiPriority w:val="39"/>
    <w:rPr>
      <w:rFonts w:ascii="XO Thames" w:hAnsi="XO Thames"/>
      <w:b/>
      <w:sz w:val="28"/>
    </w:rPr>
  </w:style>
  <w:style w:type="character" w:customStyle="1" w:styleId="18">
    <w:name w:val="Оглавление 1 Знак"/>
    <w:link w:val="17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Subtitle"/>
    <w:next w:val="a"/>
    <w:link w:val="ae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e">
    <w:name w:val="Подзаголовок Знак"/>
    <w:link w:val="ad"/>
    <w:rPr>
      <w:rFonts w:ascii="XO Thames" w:hAnsi="XO Thames"/>
      <w:i/>
      <w:sz w:val="24"/>
    </w:rPr>
  </w:style>
  <w:style w:type="paragraph" w:styleId="af">
    <w:name w:val="footer"/>
    <w:basedOn w:val="a"/>
    <w:link w:val="a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1"/>
    <w:link w:val="af"/>
  </w:style>
  <w:style w:type="paragraph" w:styleId="af1">
    <w:name w:val="Title"/>
    <w:next w:val="a"/>
    <w:link w:val="af2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2">
    <w:name w:val="Заголовок Знак"/>
    <w:link w:val="af1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customStyle="1" w:styleId="FontStyle100">
    <w:name w:val="Font Style100"/>
    <w:link w:val="FontStyle1000"/>
    <w:rPr>
      <w:rFonts w:ascii="Garamond" w:hAnsi="Garamond"/>
      <w:sz w:val="18"/>
    </w:rPr>
  </w:style>
  <w:style w:type="character" w:customStyle="1" w:styleId="FontStyle1000">
    <w:name w:val="Font Style100"/>
    <w:link w:val="FontStyle100"/>
    <w:rPr>
      <w:rFonts w:ascii="Garamond" w:hAnsi="Garamond"/>
      <w:sz w:val="18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13">
    <w:name w:val="Основной шрифт абзаца1"/>
  </w:style>
  <w:style w:type="paragraph" w:styleId="af3">
    <w:name w:val="Balloon Text"/>
    <w:basedOn w:val="a"/>
    <w:link w:val="af4"/>
    <w:pPr>
      <w:spacing w:after="0" w:line="240" w:lineRule="auto"/>
    </w:pPr>
    <w:rPr>
      <w:rFonts w:ascii="Segoe UI" w:hAnsi="Segoe UI"/>
      <w:sz w:val="18"/>
    </w:rPr>
  </w:style>
  <w:style w:type="character" w:customStyle="1" w:styleId="af4">
    <w:name w:val="Текст выноски Знак"/>
    <w:basedOn w:val="1"/>
    <w:link w:val="af3"/>
    <w:rPr>
      <w:rFonts w:ascii="Segoe UI" w:hAnsi="Segoe UI"/>
      <w:sz w:val="18"/>
    </w:rPr>
  </w:style>
  <w:style w:type="table" w:styleId="af5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2304</Words>
  <Characters>13136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Егошин Кирилл</dc:creator>
  <cp:lastModifiedBy>Зосина Елена</cp:lastModifiedBy>
  <cp:revision>6</cp:revision>
  <dcterms:created xsi:type="dcterms:W3CDTF">2025-01-22T08:48:00Z</dcterms:created>
  <dcterms:modified xsi:type="dcterms:W3CDTF">2026-09-23T09:38:00Z</dcterms:modified>
</cp:coreProperties>
</file>