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Metin–Şekil–Tablo Eşitliği Denetimi</w:t>
      </w:r>
    </w:p>
    <w:p>
      <w:pPr>
        <w:jc w:val="center"/>
      </w:pPr>
      <w:r>
        <w:rPr>
          <w:b/>
          <w:sz w:val="24"/>
        </w:rPr>
        <w:t>Tez dosyası: thesis 5.docx</w:t>
      </w:r>
    </w:p>
    <w:p>
      <w:pPr>
        <w:jc w:val="center"/>
      </w:pPr>
      <w:r>
        <w:rPr>
          <w:sz w:val="16"/>
        </w:rPr>
        <w:t>Denetim tarihi: 18 Temmuz 2026</w:t>
        <w:br/>
        <w:t>SHA-256: 19d8313543f1af3d92036e9d38188ca2228e4ba7129fbc9fae9fe4f46afd048b</w:t>
      </w:r>
    </w:p>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Arial" w:hAnsi="Arial"/>
                <w:b/>
                <w:sz w:val="20"/>
              </w:rPr>
              <w:t>Denetlenen artefakt</w:t>
            </w:r>
          </w:p>
        </w:tc>
        <w:tc>
          <w:tcPr>
            <w:tcW w:type="dxa" w:w="4986"/>
            <w:vAlign w:val="center"/>
          </w:tcPr>
          <w:p>
            <w:r/>
            <w:r>
              <w:rPr>
                <w:rFonts w:ascii="Arial" w:hAnsi="Arial"/>
                <w:b/>
                <w:sz w:val="20"/>
              </w:rPr>
              <w:t>29 tablo + 26 şekil = 55</w:t>
            </w:r>
          </w:p>
        </w:tc>
      </w:tr>
      <w:tr>
        <w:tc>
          <w:tcPr>
            <w:tcW w:type="dxa" w:w="4986"/>
            <w:vAlign w:val="center"/>
            <w:shd w:fill="D9EAF7"/>
          </w:tcPr>
          <w:p>
            <w:r/>
            <w:r>
              <w:rPr>
                <w:rFonts w:ascii="Arial" w:hAnsi="Arial"/>
                <w:b/>
                <w:sz w:val="20"/>
              </w:rPr>
              <w:t>Uyumlu</w:t>
            </w:r>
          </w:p>
        </w:tc>
        <w:tc>
          <w:tcPr>
            <w:tcW w:type="dxa" w:w="4986"/>
            <w:vAlign w:val="center"/>
          </w:tcPr>
          <w:p>
            <w:r/>
            <w:r>
              <w:rPr>
                <w:rFonts w:ascii="Arial" w:hAnsi="Arial"/>
                <w:b/>
                <w:sz w:val="20"/>
              </w:rPr>
              <w:t>26</w:t>
            </w:r>
          </w:p>
        </w:tc>
      </w:tr>
      <w:tr>
        <w:tc>
          <w:tcPr>
            <w:tcW w:type="dxa" w:w="4986"/>
            <w:vAlign w:val="center"/>
            <w:shd w:fill="D9EAF7"/>
          </w:tcPr>
          <w:p>
            <w:r/>
            <w:r>
              <w:rPr>
                <w:rFonts w:ascii="Arial" w:hAnsi="Arial"/>
                <w:b/>
                <w:sz w:val="20"/>
              </w:rPr>
              <w:t>Kısmi uyumsuzluk</w:t>
            </w:r>
          </w:p>
        </w:tc>
        <w:tc>
          <w:tcPr>
            <w:tcW w:type="dxa" w:w="4986"/>
            <w:vAlign w:val="center"/>
          </w:tcPr>
          <w:p>
            <w:r/>
            <w:r>
              <w:rPr>
                <w:rFonts w:ascii="Arial" w:hAnsi="Arial"/>
                <w:b/>
                <w:sz w:val="20"/>
              </w:rPr>
              <w:t>9</w:t>
            </w:r>
          </w:p>
        </w:tc>
      </w:tr>
      <w:tr>
        <w:tc>
          <w:tcPr>
            <w:tcW w:type="dxa" w:w="4986"/>
            <w:vAlign w:val="center"/>
            <w:shd w:fill="D9EAF7"/>
          </w:tcPr>
          <w:p>
            <w:r/>
            <w:r>
              <w:rPr>
                <w:rFonts w:ascii="Arial" w:hAnsi="Arial"/>
                <w:b/>
                <w:sz w:val="20"/>
              </w:rPr>
              <w:t>Majör uyumsuzluk</w:t>
            </w:r>
          </w:p>
        </w:tc>
        <w:tc>
          <w:tcPr>
            <w:tcW w:type="dxa" w:w="4986"/>
            <w:vAlign w:val="center"/>
          </w:tcPr>
          <w:p>
            <w:r/>
            <w:r>
              <w:rPr>
                <w:rFonts w:ascii="Arial" w:hAnsi="Arial"/>
                <w:b/>
                <w:sz w:val="20"/>
              </w:rPr>
              <w:t>11</w:t>
            </w:r>
          </w:p>
        </w:tc>
      </w:tr>
      <w:tr>
        <w:tc>
          <w:tcPr>
            <w:tcW w:type="dxa" w:w="4986"/>
            <w:vAlign w:val="center"/>
            <w:shd w:fill="D9EAF7"/>
          </w:tcPr>
          <w:p>
            <w:r/>
            <w:r>
              <w:rPr>
                <w:rFonts w:ascii="Arial" w:hAnsi="Arial"/>
                <w:b/>
                <w:sz w:val="20"/>
              </w:rPr>
              <w:t>Kritik uyumsuzluk</w:t>
            </w:r>
          </w:p>
        </w:tc>
        <w:tc>
          <w:tcPr>
            <w:tcW w:type="dxa" w:w="4986"/>
            <w:vAlign w:val="center"/>
          </w:tcPr>
          <w:p>
            <w:r/>
            <w:r>
              <w:rPr>
                <w:rFonts w:ascii="Arial" w:hAnsi="Arial"/>
                <w:b/>
                <w:sz w:val="20"/>
              </w:rPr>
              <w:t>9</w:t>
            </w:r>
          </w:p>
        </w:tc>
      </w:tr>
    </w:tbl>
    <w:p/>
    <w:p>
      <w:r>
        <w:rPr>
          <w:b/>
        </w:rPr>
        <w:t xml:space="preserve">Genel karar: </w:t>
      </w:r>
      <w:r>
        <w:t>Metin, tablo ve şekillerin tamamı aynı kanonik çıktı sürümüne bağlı değildir. Özellikle LPA, ağ analizi, ileri psikometri, çoklu-evren, meta-analitik havuzlama, diferansiyel ebeveynlik, aracılık ve falsifikasyon katmanlarında artefakt senkronizasyonu zorunludur.</w:t>
      </w:r>
    </w:p>
    <w:p>
      <w:pPr>
        <w:pStyle w:val="Heading1"/>
      </w:pPr>
      <w:r>
        <w:t>1. Denetim ölçütleri</w:t>
      </w:r>
    </w:p>
    <w:p>
      <w:pPr>
        <w:pStyle w:val="ListBullet"/>
      </w:pPr>
      <w:r>
        <w:t>Sayısal eşitlik: katsayı, güven aralığı, p/q/BF, örneklem ve model uyum değerlerinin aynı olması.</w:t>
      </w:r>
    </w:p>
    <w:p>
      <w:pPr>
        <w:pStyle w:val="ListBullet"/>
      </w:pPr>
      <w:r>
        <w:t>Semantik eşitlik: aynı bilgi verici, ölçek, grup, rol, analiz ve zaman yönünün raporlanması.</w:t>
      </w:r>
    </w:p>
    <w:p>
      <w:pPr>
        <w:pStyle w:val="ListBullet"/>
      </w:pPr>
      <w:r>
        <w:t>Estimand eşitliği: metin, tablo ve şeklin aynı parametreyi/ölçeği (ham, standardize, latent, görünür, optimizm-düzeltilmiş) göstermesi.</w:t>
      </w:r>
    </w:p>
    <w:p>
      <w:pPr>
        <w:pStyle w:val="ListBullet"/>
      </w:pPr>
      <w:r>
        <w:t>Kapsam eşitliği: şekil/table başlığı ile içerikteki değişken ve panel kapsamının aynı olması.</w:t>
      </w:r>
    </w:p>
    <w:p>
      <w:pPr>
        <w:pStyle w:val="ListBullet"/>
      </w:pPr>
      <w:r>
        <w:t>Sürüm eşitliği: anlatı, tablo ve görselin aynı kanonik veri nesnesi veya aynı CSV sürümünden üretilmesi.</w:t>
      </w:r>
    </w:p>
    <w:p>
      <w:r>
        <w:rPr>
          <w:i/>
        </w:rPr>
        <w:t>Not: “Uyumlu” kararı, tez içinde çelişki saptanmadığını gösterir; ham analiz kodunun bağımsız yeniden çalıştırılması anlamına gelmez.</w:t>
      </w:r>
    </w:p>
    <w:p>
      <w:pPr>
        <w:pStyle w:val="Heading1"/>
      </w:pPr>
      <w:r>
        <w:t>2. Kritik uyumsuzluklar — teslim öncesi zorunlu</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94"/>
            <w:vAlign w:val="center"/>
            <w:shd w:fill="D9EAF7"/>
          </w:tcPr>
          <w:p>
            <w:r/>
            <w:r>
              <w:rPr>
                <w:rFonts w:ascii="Arial" w:hAnsi="Arial"/>
                <w:b/>
                <w:sz w:val="15"/>
              </w:rPr>
              <w:t>Artefakt</w:t>
            </w:r>
          </w:p>
        </w:tc>
        <w:tc>
          <w:tcPr>
            <w:tcW w:type="dxa" w:w="1994"/>
            <w:vAlign w:val="center"/>
            <w:shd w:fill="D9EAF7"/>
          </w:tcPr>
          <w:p>
            <w:r/>
            <w:r>
              <w:rPr>
                <w:rFonts w:ascii="Arial" w:hAnsi="Arial"/>
                <w:b/>
                <w:sz w:val="15"/>
              </w:rPr>
              <w:t>Durum</w:t>
            </w:r>
          </w:p>
        </w:tc>
        <w:tc>
          <w:tcPr>
            <w:tcW w:type="dxa" w:w="1994"/>
            <w:vAlign w:val="center"/>
            <w:shd w:fill="D9EAF7"/>
          </w:tcPr>
          <w:p>
            <w:r/>
            <w:r>
              <w:rPr>
                <w:rFonts w:ascii="Arial" w:hAnsi="Arial"/>
                <w:b/>
                <w:sz w:val="15"/>
              </w:rPr>
              <w:t>Metin/iddia</w:t>
            </w:r>
          </w:p>
        </w:tc>
        <w:tc>
          <w:tcPr>
            <w:tcW w:type="dxa" w:w="1994"/>
            <w:vAlign w:val="center"/>
            <w:shd w:fill="D9EAF7"/>
          </w:tcPr>
          <w:p>
            <w:r/>
            <w:r>
              <w:rPr>
                <w:rFonts w:ascii="Arial" w:hAnsi="Arial"/>
                <w:b/>
                <w:sz w:val="15"/>
              </w:rPr>
              <w:t>Gözlenen içerik</w:t>
            </w:r>
          </w:p>
        </w:tc>
        <w:tc>
          <w:tcPr>
            <w:tcW w:type="dxa" w:w="1994"/>
            <w:vAlign w:val="center"/>
            <w:shd w:fill="D9EAF7"/>
          </w:tcPr>
          <w:p>
            <w:r/>
            <w:r>
              <w:rPr>
                <w:rFonts w:ascii="Arial" w:hAnsi="Arial"/>
                <w:b/>
                <w:sz w:val="15"/>
              </w:rPr>
              <w:t>Zorunlu işlem</w:t>
            </w:r>
          </w:p>
        </w:tc>
      </w:tr>
      <w:tr>
        <w:tc>
          <w:tcPr>
            <w:tcW w:type="dxa" w:w="1994"/>
            <w:vAlign w:val="center"/>
          </w:tcPr>
          <w:p>
            <w:r/>
            <w:r>
              <w:rPr>
                <w:rFonts w:ascii="Arial" w:hAnsi="Arial"/>
                <w:b w:val="0"/>
                <w:sz w:val="15"/>
              </w:rPr>
              <w:t>Şekil 10</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Metin ve Tablo 20: BIC sayısal minimumu 4 profilde (3949,1), 3 profil ΔBIC≈2 ve parsimoniyle seçildi.</w:t>
            </w:r>
          </w:p>
        </w:tc>
        <w:tc>
          <w:tcPr>
            <w:tcW w:type="dxa" w:w="1994"/>
            <w:vAlign w:val="center"/>
          </w:tcPr>
          <w:p>
            <w:r/>
            <w:r>
              <w:rPr>
                <w:rFonts w:ascii="Arial" w:hAnsi="Arial"/>
                <w:b w:val="0"/>
                <w:sz w:val="15"/>
              </w:rPr>
              <w:t>Şekil 10 içindeki kesikli çizgi ve not, BIC minimumunu 3 profilde gösteriyor; grafik değerleri Tablo 20 ile aynı sürümden değil.</w:t>
            </w:r>
          </w:p>
        </w:tc>
        <w:tc>
          <w:tcPr>
            <w:tcW w:type="dxa" w:w="1994"/>
            <w:vAlign w:val="center"/>
          </w:tcPr>
          <w:p>
            <w:r/>
            <w:r>
              <w:rPr>
                <w:rFonts w:ascii="Arial" w:hAnsi="Arial"/>
                <w:b w:val="0"/>
                <w:sz w:val="15"/>
              </w:rPr>
              <w:t>Şekil 10 kanonik Tablo 20 veri nesnesinden yeniden üretilmeli; 4 profil “BIC minimumu”, 3 profil “seçilen parsimoni çözümü” olarak ayrı işaretlenmeli.</w:t>
            </w:r>
          </w:p>
        </w:tc>
      </w:tr>
      <w:tr>
        <w:tc>
          <w:tcPr>
            <w:tcW w:type="dxa" w:w="1994"/>
            <w:vAlign w:val="center"/>
          </w:tcPr>
          <w:p>
            <w:r/>
            <w:r>
              <w:rPr>
                <w:rFonts w:ascii="Arial" w:hAnsi="Arial"/>
                <w:b w:val="0"/>
                <w:sz w:val="15"/>
              </w:rPr>
              <w:t>Şekil 11</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Ağın değişkenleri dört EMBU-P + dört KİA/SRQ + Beck olarak tanımlanıyor.</w:t>
            </w:r>
          </w:p>
        </w:tc>
        <w:tc>
          <w:tcPr>
            <w:tcW w:type="dxa" w:w="1994"/>
            <w:vAlign w:val="center"/>
          </w:tcPr>
          <w:p>
            <w:r/>
            <w:r>
              <w:rPr>
                <w:rFonts w:ascii="Arial" w:hAnsi="Arial"/>
                <w:b w:val="0"/>
                <w:sz w:val="15"/>
              </w:rPr>
              <w:t>Tablo 21 ve Şekil 11’in en yüksek strength değerleri KİA Sıcaklık 0,58, EMBU-P Karşılaştırma 0,51, KİA Çatışma 0,49. Anlatı ise KİA Statü 0,60, EMBU-C Karşılaştırma 0,56, EMBU-C Reddetme 0,53 diyor ve yanlışlıkla Tablo 16’ya gönderiyor.</w:t>
            </w:r>
          </w:p>
        </w:tc>
        <w:tc>
          <w:tcPr>
            <w:tcW w:type="dxa" w:w="1994"/>
            <w:vAlign w:val="center"/>
          </w:tcPr>
          <w:p>
            <w:r/>
            <w:r>
              <w:rPr>
                <w:rFonts w:ascii="Arial" w:hAnsi="Arial"/>
                <w:b w:val="0"/>
                <w:sz w:val="15"/>
              </w:rPr>
              <w:t>Anlatı Tablo 21/Şekil 11’e göre yeniden yazılmalı veya tüm üç artefakt aynı ağ çıktısından yeniden üretilmeli; çapraz başvuru Tablo 21 olmalı.</w:t>
            </w:r>
          </w:p>
        </w:tc>
      </w:tr>
      <w:tr>
        <w:tc>
          <w:tcPr>
            <w:tcW w:type="dxa" w:w="1994"/>
            <w:vAlign w:val="center"/>
          </w:tcPr>
          <w:p>
            <w:r/>
            <w:r>
              <w:rPr>
                <w:rFonts w:ascii="Arial" w:hAnsi="Arial"/>
                <w:b w:val="0"/>
                <w:sz w:val="15"/>
              </w:rPr>
              <w:t>Şekil 17</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Altyazı “trifaktör CFA uyum profili” diyor.</w:t>
            </w:r>
          </w:p>
        </w:tc>
        <w:tc>
          <w:tcPr>
            <w:tcW w:type="dxa" w:w="1994"/>
            <w:vAlign w:val="center"/>
          </w:tcPr>
          <w:p>
            <w:r/>
            <w:r>
              <w:rPr>
                <w:rFonts w:ascii="Arial" w:hAnsi="Arial"/>
                <w:b w:val="0"/>
                <w:sz w:val="15"/>
              </w:rPr>
              <w:t>Şekil, model uyum indekslerini değil madde bazında ortak trait/indeks yöntem/kardeş yöntem standartlaştırılmış yüklemelerini gösteriyor.</w:t>
            </w:r>
          </w:p>
        </w:tc>
        <w:tc>
          <w:tcPr>
            <w:tcW w:type="dxa" w:w="1994"/>
            <w:vAlign w:val="center"/>
          </w:tcPr>
          <w:p>
            <w:r/>
            <w:r>
              <w:rPr>
                <w:rFonts w:ascii="Arial" w:hAnsi="Arial"/>
                <w:b w:val="0"/>
                <w:sz w:val="15"/>
              </w:rPr>
              <w:t>Altyazı “trifaktör yükleme mimarisi” olarak değiştirilmeli; gerçekten uyum profili amaçlanıyorsa CFI/RMSEA/SRMR grafiği üretilmeli.</w:t>
            </w:r>
          </w:p>
        </w:tc>
      </w:tr>
      <w:tr>
        <w:tc>
          <w:tcPr>
            <w:tcW w:type="dxa" w:w="1994"/>
            <w:vAlign w:val="center"/>
          </w:tcPr>
          <w:p>
            <w:r/>
            <w:r>
              <w:rPr>
                <w:rFonts w:ascii="Arial" w:hAnsi="Arial"/>
                <w:b w:val="0"/>
                <w:sz w:val="15"/>
              </w:rPr>
              <w:t>Şekil 18</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Metin ve altyazı manifest ve latent etkilerin karşılaştırıldığını söylüyor.</w:t>
            </w:r>
          </w:p>
        </w:tc>
        <w:tc>
          <w:tcPr>
            <w:tcW w:type="dxa" w:w="1994"/>
            <w:vAlign w:val="center"/>
          </w:tcPr>
          <w:p>
            <w:r/>
            <w:r>
              <w:rPr>
                <w:rFonts w:ascii="Arial" w:hAnsi="Arial"/>
                <w:b w:val="0"/>
                <w:sz w:val="15"/>
              </w:rPr>
              <w:t>Şekil yalnız IRT latent theta farklarını gösteriyor; manifest etki yok.</w:t>
            </w:r>
          </w:p>
        </w:tc>
        <w:tc>
          <w:tcPr>
            <w:tcW w:type="dxa" w:w="1994"/>
            <w:vAlign w:val="center"/>
          </w:tcPr>
          <w:p>
            <w:r/>
            <w:r>
              <w:rPr>
                <w:rFonts w:ascii="Arial" w:hAnsi="Arial"/>
                <w:b w:val="0"/>
                <w:sz w:val="15"/>
              </w:rPr>
              <w:t>Manifest katsayıları ayrı seri olarak eklenmeli veya metin/altyazı “latent theta grup farkları” olarak düzeltilmeli.</w:t>
            </w:r>
          </w:p>
        </w:tc>
      </w:tr>
      <w:tr>
        <w:tc>
          <w:tcPr>
            <w:tcW w:type="dxa" w:w="1994"/>
            <w:vAlign w:val="center"/>
          </w:tcPr>
          <w:p>
            <w:r/>
            <w:r>
              <w:rPr>
                <w:rFonts w:ascii="Arial" w:hAnsi="Arial"/>
                <w:b w:val="0"/>
                <w:sz w:val="15"/>
              </w:rPr>
              <w:t>Şekil 19</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Metin ve altyazı H1 çocuk-reddetme etkisine özgü 120 spesifikasyon ve medyan β=0,13/%75 anlamlılık iddia ediyor.</w:t>
            </w:r>
          </w:p>
        </w:tc>
        <w:tc>
          <w:tcPr>
            <w:tcW w:type="dxa" w:w="1994"/>
            <w:vAlign w:val="center"/>
          </w:tcPr>
          <w:p>
            <w:r/>
            <w:r>
              <w:rPr>
                <w:rFonts w:ascii="Arial" w:hAnsi="Arial"/>
                <w:b w:val="0"/>
                <w:sz w:val="15"/>
              </w:rPr>
              <w:t>Şekilde dört alt ölçek ayrı renklerle birlikte yer alıyor; 120 spesifikasyon reddetmeye özgü değil.</w:t>
            </w:r>
          </w:p>
        </w:tc>
        <w:tc>
          <w:tcPr>
            <w:tcW w:type="dxa" w:w="1994"/>
            <w:vAlign w:val="center"/>
          </w:tcPr>
          <w:p>
            <w:r/>
            <w:r>
              <w:rPr>
                <w:rFonts w:ascii="Arial" w:hAnsi="Arial"/>
                <w:b w:val="0"/>
                <w:sz w:val="15"/>
              </w:rPr>
              <w:t>Reddetme için filtrelenmiş spesifikasyon eğrisi üretilmeli veya başlık, medyan ve anlamlılık oranı dört alt ölçeğin birleşik spesifikasyon evreni olarak yeniden tanımlanmalı.</w:t>
            </w:r>
          </w:p>
        </w:tc>
      </w:tr>
      <w:tr>
        <w:tc>
          <w:tcPr>
            <w:tcW w:type="dxa" w:w="1994"/>
            <w:vAlign w:val="center"/>
          </w:tcPr>
          <w:p>
            <w:r/>
            <w:r>
              <w:rPr>
                <w:rFonts w:ascii="Arial" w:hAnsi="Arial"/>
                <w:b w:val="0"/>
                <w:sz w:val="15"/>
              </w:rPr>
              <w:t>Şekil 20</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Metin/altyazı “alt ölçek etkilerinin meta-analitik havuzlaması” ve ortak 0,14 kestirimi sunuyor.</w:t>
            </w:r>
          </w:p>
        </w:tc>
        <w:tc>
          <w:tcPr>
            <w:tcW w:type="dxa" w:w="1994"/>
            <w:vAlign w:val="center"/>
          </w:tcPr>
          <w:p>
            <w:r/>
            <w:r>
              <w:rPr>
                <w:rFonts w:ascii="Arial" w:hAnsi="Arial"/>
                <w:b w:val="0"/>
                <w:sz w:val="15"/>
              </w:rPr>
              <w:t>Şekil; bu çalışmanın farklı alt ölçekleriyle ebeveynlik, kardeş, ebeveyn stresi ve maternal depresyon gibi farklı yapıları ölçen dış çalışmaların etkilerini tek REML havuzunda birleştiriyor.</w:t>
            </w:r>
          </w:p>
        </w:tc>
        <w:tc>
          <w:tcPr>
            <w:tcW w:type="dxa" w:w="1994"/>
            <w:vAlign w:val="center"/>
          </w:tcPr>
          <w:p>
            <w:r/>
            <w:r>
              <w:rPr>
                <w:rFonts w:ascii="Arial" w:hAnsi="Arial"/>
                <w:b w:val="0"/>
                <w:sz w:val="15"/>
              </w:rPr>
              <w:t>Ortak estimand ve dönüşüm gerekçesi açıkça kurulmalı; kurulamazsa pooled diamond kaldırılıp dış çalışmalar karşılaştırmalı referans paneli olarak sunulmalı veya yapı-homojen ayrı meta-analizler yapılmalı.</w:t>
            </w:r>
          </w:p>
        </w:tc>
      </w:tr>
      <w:tr>
        <w:tc>
          <w:tcPr>
            <w:tcW w:type="dxa" w:w="1994"/>
            <w:vAlign w:val="center"/>
          </w:tcPr>
          <w:p>
            <w:r/>
            <w:r>
              <w:rPr>
                <w:rFonts w:ascii="Arial" w:hAnsi="Arial"/>
                <w:b w:val="0"/>
                <w:sz w:val="15"/>
              </w:rPr>
              <w:t>Şekil 22</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Metin düzeltilmemiş düzeyde “baba-kayırma” yönünde d=−0,27 bulgusunun Şekil 22’de gösterildiğini söylüyor.</w:t>
            </w:r>
          </w:p>
        </w:tc>
        <w:tc>
          <w:tcPr>
            <w:tcW w:type="dxa" w:w="1994"/>
            <w:vAlign w:val="center"/>
          </w:tcPr>
          <w:p>
            <w:r/>
            <w:r>
              <w:rPr>
                <w:rFonts w:ascii="Arial" w:hAnsi="Arial"/>
                <w:b w:val="0"/>
                <w:sz w:val="15"/>
              </w:rPr>
              <w:t>Şekil 22 sıcaklık −0,08, aşırı koruma +0,15, reddetme +0,03, karşılaştırma +0,01 gösteriyor; −0,27 yok.</w:t>
            </w:r>
          </w:p>
        </w:tc>
        <w:tc>
          <w:tcPr>
            <w:tcW w:type="dxa" w:w="1994"/>
            <w:vAlign w:val="center"/>
          </w:tcPr>
          <w:p>
            <w:r/>
            <w:r>
              <w:rPr>
                <w:rFonts w:ascii="Arial" w:hAnsi="Arial"/>
                <w:b w:val="0"/>
                <w:sz w:val="15"/>
              </w:rPr>
              <w:t>Anlatının hangi PDT kontrastına ait olduğu belirlenmeli; şekil o kontrastı eklemeli veya anlatı mevcut dört etkiye göre düzeltilmeli.</w:t>
            </w:r>
          </w:p>
        </w:tc>
      </w:tr>
      <w:tr>
        <w:tc>
          <w:tcPr>
            <w:tcW w:type="dxa" w:w="1994"/>
            <w:vAlign w:val="center"/>
          </w:tcPr>
          <w:p>
            <w:r/>
            <w:r>
              <w:rPr>
                <w:rFonts w:ascii="Arial" w:hAnsi="Arial"/>
                <w:b w:val="0"/>
                <w:sz w:val="15"/>
              </w:rPr>
              <w:t>Tablo 19</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Aracılık anlatısı a-yolu p=0,025, b-yolu p=0,140, dolaylı GA üstü 0,0019, a3 p=0,220 ve IMM p=0,370 verir; Tablo 19 sırasıyla 0,020, 0,161, 0,0020, 0,226 ve 0,373 verir.</w:t>
            </w:r>
          </w:p>
        </w:tc>
        <w:tc>
          <w:tcPr>
            <w:tcW w:type="dxa" w:w="1994"/>
            <w:vAlign w:val="center"/>
          </w:tcPr>
          <w:p>
            <w:r/>
            <w:r>
              <w:rPr>
                <w:rFonts w:ascii="Arial" w:hAnsi="Arial"/>
                <w:b w:val="0"/>
                <w:sz w:val="15"/>
              </w:rPr>
              <w:t>—</w:t>
            </w:r>
          </w:p>
        </w:tc>
        <w:tc>
          <w:tcPr>
            <w:tcW w:type="dxa" w:w="1994"/>
            <w:vAlign w:val="center"/>
          </w:tcPr>
          <w:p>
            <w:r/>
            <w:r>
              <w:rPr>
                <w:rFonts w:ascii="Arial" w:hAnsi="Arial"/>
                <w:b w:val="0"/>
                <w:sz w:val="15"/>
              </w:rPr>
              <w:t>Metin ve tablo farklı çıktı sürümlerinden. Kanonik CSV’den ikisi birlikte yeniden üretilmeli; p ve GA değerleri literal olarak eşit olmalı.</w:t>
            </w:r>
          </w:p>
        </w:tc>
      </w:tr>
      <w:tr>
        <w:tc>
          <w:tcPr>
            <w:tcW w:type="dxa" w:w="1994"/>
            <w:vAlign w:val="center"/>
          </w:tcPr>
          <w:p>
            <w:r/>
            <w:r>
              <w:rPr>
                <w:rFonts w:ascii="Arial" w:hAnsi="Arial"/>
                <w:b w:val="0"/>
                <w:sz w:val="15"/>
              </w:rPr>
              <w:t>Tablo 25</w:t>
            </w:r>
          </w:p>
        </w:tc>
        <w:tc>
          <w:tcPr>
            <w:tcW w:type="dxa" w:w="1994"/>
            <w:vAlign w:val="center"/>
            <w:shd w:fill="F4CCCC"/>
          </w:tcPr>
          <w:p>
            <w:r/>
            <w:r>
              <w:rPr>
                <w:rFonts w:ascii="Arial" w:hAnsi="Arial"/>
                <w:b w:val="0"/>
                <w:sz w:val="15"/>
              </w:rPr>
              <w:t>Kritik</w:t>
            </w:r>
          </w:p>
        </w:tc>
        <w:tc>
          <w:tcPr>
            <w:tcW w:type="dxa" w:w="1994"/>
            <w:vAlign w:val="center"/>
          </w:tcPr>
          <w:p>
            <w:r/>
            <w:r>
              <w:rPr>
                <w:rFonts w:ascii="Arial" w:hAnsi="Arial"/>
                <w:b w:val="0"/>
                <w:sz w:val="15"/>
              </w:rPr>
              <w:t>Metin iki falsifikasyon senaryosunun etkiyi zayıflattığını ve yönü değiştirmediğini söyler; tablo &gt;100% ve negatif attenuation değerleri (örn. 551,9%, −193,9%) verir. Bu değerler standart tanımda yalnız zayıflama anlamına gelmez.</w:t>
            </w:r>
          </w:p>
        </w:tc>
        <w:tc>
          <w:tcPr>
            <w:tcW w:type="dxa" w:w="1994"/>
            <w:vAlign w:val="center"/>
          </w:tcPr>
          <w:p>
            <w:r/>
            <w:r>
              <w:rPr>
                <w:rFonts w:ascii="Arial" w:hAnsi="Arial"/>
                <w:b w:val="0"/>
                <w:sz w:val="15"/>
              </w:rPr>
              <w:t>—</w:t>
            </w:r>
          </w:p>
        </w:tc>
        <w:tc>
          <w:tcPr>
            <w:tcW w:type="dxa" w:w="1994"/>
            <w:vAlign w:val="center"/>
          </w:tcPr>
          <w:p>
            <w:r/>
            <w:r>
              <w:rPr>
                <w:rFonts w:ascii="Arial" w:hAnsi="Arial"/>
                <w:b w:val="0"/>
                <w:sz w:val="15"/>
              </w:rPr>
              <w:t>Attenuation formülü ve işaret yorumu açıkça yazılmalı; yön değişimi/etki artışı varsa metin düzeltilmeli veya metrik yeniden hesaplanmalı.</w:t>
            </w:r>
          </w:p>
        </w:tc>
      </w:tr>
    </w:tbl>
    <w:p>
      <w:pPr>
        <w:pStyle w:val="Heading1"/>
      </w:pPr>
      <w:r>
        <w:t>3. Majör uyumsuzluklar</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94"/>
            <w:vAlign w:val="center"/>
            <w:shd w:fill="D9EAF7"/>
          </w:tcPr>
          <w:p>
            <w:r/>
            <w:r>
              <w:rPr>
                <w:rFonts w:ascii="Arial" w:hAnsi="Arial"/>
                <w:b/>
                <w:sz w:val="15"/>
              </w:rPr>
              <w:t>Artefakt</w:t>
            </w:r>
          </w:p>
        </w:tc>
        <w:tc>
          <w:tcPr>
            <w:tcW w:type="dxa" w:w="1994"/>
            <w:vAlign w:val="center"/>
            <w:shd w:fill="D9EAF7"/>
          </w:tcPr>
          <w:p>
            <w:r/>
            <w:r>
              <w:rPr>
                <w:rFonts w:ascii="Arial" w:hAnsi="Arial"/>
                <w:b/>
                <w:sz w:val="15"/>
              </w:rPr>
              <w:t>Durum</w:t>
            </w:r>
          </w:p>
        </w:tc>
        <w:tc>
          <w:tcPr>
            <w:tcW w:type="dxa" w:w="1994"/>
            <w:vAlign w:val="center"/>
            <w:shd w:fill="D9EAF7"/>
          </w:tcPr>
          <w:p>
            <w:r/>
            <w:r>
              <w:rPr>
                <w:rFonts w:ascii="Arial" w:hAnsi="Arial"/>
                <w:b/>
                <w:sz w:val="15"/>
              </w:rPr>
              <w:t>Metin/iddia</w:t>
            </w:r>
          </w:p>
        </w:tc>
        <w:tc>
          <w:tcPr>
            <w:tcW w:type="dxa" w:w="1994"/>
            <w:vAlign w:val="center"/>
            <w:shd w:fill="D9EAF7"/>
          </w:tcPr>
          <w:p>
            <w:r/>
            <w:r>
              <w:rPr>
                <w:rFonts w:ascii="Arial" w:hAnsi="Arial"/>
                <w:b/>
                <w:sz w:val="15"/>
              </w:rPr>
              <w:t>Gözlenen içerik</w:t>
            </w:r>
          </w:p>
        </w:tc>
        <w:tc>
          <w:tcPr>
            <w:tcW w:type="dxa" w:w="1994"/>
            <w:vAlign w:val="center"/>
            <w:shd w:fill="D9EAF7"/>
          </w:tcPr>
          <w:p>
            <w:r/>
            <w:r>
              <w:rPr>
                <w:rFonts w:ascii="Arial" w:hAnsi="Arial"/>
                <w:b/>
                <w:sz w:val="15"/>
              </w:rPr>
              <w:t>Zorunlu işlem</w:t>
            </w:r>
          </w:p>
        </w:tc>
      </w:tr>
      <w:tr>
        <w:tc>
          <w:tcPr>
            <w:tcW w:type="dxa" w:w="1994"/>
            <w:vAlign w:val="center"/>
          </w:tcPr>
          <w:p>
            <w:r/>
            <w:r>
              <w:rPr>
                <w:rFonts w:ascii="Arial" w:hAnsi="Arial"/>
                <w:b w:val="0"/>
                <w:sz w:val="15"/>
              </w:rPr>
              <w:t>Şekil 1</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DM klinik alt-analizin yalnız DM indeks ailelerinden oluştuğu belirtiliyor.</w:t>
            </w:r>
          </w:p>
        </w:tc>
        <w:tc>
          <w:tcPr>
            <w:tcW w:type="dxa" w:w="1994"/>
            <w:vAlign w:val="center"/>
          </w:tcPr>
          <w:p>
            <w:r/>
            <w:r>
              <w:rPr>
                <w:rFonts w:ascii="Arial" w:hAnsi="Arial"/>
                <w:b w:val="0"/>
                <w:sz w:val="15"/>
              </w:rPr>
              <w:t>Şemada hem DM hem kontrol kolu HbA1c gözlenen n=39 DM klinik alt-analiz düğümüne bağlanıyor.</w:t>
            </w:r>
          </w:p>
        </w:tc>
        <w:tc>
          <w:tcPr>
            <w:tcW w:type="dxa" w:w="1994"/>
            <w:vAlign w:val="center"/>
          </w:tcPr>
          <w:p>
            <w:r/>
            <w:r>
              <w:rPr>
                <w:rFonts w:ascii="Arial" w:hAnsi="Arial"/>
                <w:b w:val="0"/>
                <w:sz w:val="15"/>
              </w:rPr>
              <w:t>Kontrol→DM klinik alt-analiz oku kaldırılmalı; klinik alt-analiz yalnız DM kolundan türetilmeli.</w:t>
            </w:r>
          </w:p>
        </w:tc>
      </w:tr>
      <w:tr>
        <w:tc>
          <w:tcPr>
            <w:tcW w:type="dxa" w:w="1994"/>
            <w:vAlign w:val="center"/>
          </w:tcPr>
          <w:p>
            <w:r/>
            <w:r>
              <w:rPr>
                <w:rFonts w:ascii="Arial" w:hAnsi="Arial"/>
                <w:b w:val="0"/>
                <w:sz w:val="15"/>
              </w:rPr>
              <w:t>Şekil 5</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Metin ve altyazı, kontrol grubundaki DM yılı/HbA1c gibi yapısal eksik hücrelerin görselleştirildiğini söylüyor.</w:t>
            </w:r>
          </w:p>
        </w:tc>
        <w:tc>
          <w:tcPr>
            <w:tcW w:type="dxa" w:w="1994"/>
            <w:vAlign w:val="center"/>
          </w:tcPr>
          <w:p>
            <w:r/>
            <w:r>
              <w:rPr>
                <w:rFonts w:ascii="Arial" w:hAnsi="Arial"/>
                <w:b w:val="0"/>
                <w:sz w:val="15"/>
              </w:rPr>
              <w:t>Şekil “Primary FIML/MI frame missingness” başlığı altında yalnız analitik FIML/MI eksikliğini ve toplam %0,3 eksikliği gösteriyor; yapısal eksik blokları görünmüyor.</w:t>
            </w:r>
          </w:p>
        </w:tc>
        <w:tc>
          <w:tcPr>
            <w:tcW w:type="dxa" w:w="1994"/>
            <w:vAlign w:val="center"/>
          </w:tcPr>
          <w:p>
            <w:r/>
            <w:r>
              <w:rPr>
                <w:rFonts w:ascii="Arial" w:hAnsi="Arial"/>
                <w:b w:val="0"/>
                <w:sz w:val="15"/>
              </w:rPr>
              <w:t>Ya yapısal eksik hücreleri ayrı renk/katmanla şekle ekleyin ya da metin ve altyazıyı yalnız analitik eksiklik olarak düzeltin.</w:t>
            </w:r>
          </w:p>
        </w:tc>
      </w:tr>
      <w:tr>
        <w:tc>
          <w:tcPr>
            <w:tcW w:type="dxa" w:w="1994"/>
            <w:vAlign w:val="center"/>
          </w:tcPr>
          <w:p>
            <w:r/>
            <w:r>
              <w:rPr>
                <w:rFonts w:ascii="Arial" w:hAnsi="Arial"/>
                <w:b w:val="0"/>
                <w:sz w:val="15"/>
              </w:rPr>
              <w:t>Şekil 6</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Altyazı α ve ω katsayılarının %95 güven aralıklarıyla gösterildiğini söylüyor.</w:t>
            </w:r>
          </w:p>
        </w:tc>
        <w:tc>
          <w:tcPr>
            <w:tcW w:type="dxa" w:w="1994"/>
            <w:vAlign w:val="center"/>
          </w:tcPr>
          <w:p>
            <w:r/>
            <w:r>
              <w:rPr>
                <w:rFonts w:ascii="Arial" w:hAnsi="Arial"/>
                <w:b w:val="0"/>
                <w:sz w:val="15"/>
              </w:rPr>
              <w:t>Grafikte sütunlar var, güven aralığı hata çubukları yok.</w:t>
            </w:r>
          </w:p>
        </w:tc>
        <w:tc>
          <w:tcPr>
            <w:tcW w:type="dxa" w:w="1994"/>
            <w:vAlign w:val="center"/>
          </w:tcPr>
          <w:p>
            <w:r/>
            <w:r>
              <w:rPr>
                <w:rFonts w:ascii="Arial" w:hAnsi="Arial"/>
                <w:b w:val="0"/>
                <w:sz w:val="15"/>
              </w:rPr>
              <w:t>Güven aralıkları grafiğe eklenmeli veya altyazıdan “%95 güven aralığıyla” çıkarılmalı.</w:t>
            </w:r>
          </w:p>
        </w:tc>
      </w:tr>
      <w:tr>
        <w:tc>
          <w:tcPr>
            <w:tcW w:type="dxa" w:w="1994"/>
            <w:vAlign w:val="center"/>
          </w:tcPr>
          <w:p>
            <w:r/>
            <w:r>
              <w:rPr>
                <w:rFonts w:ascii="Arial" w:hAnsi="Arial"/>
                <w:b w:val="0"/>
                <w:sz w:val="15"/>
              </w:rPr>
              <w:t>Şekil 7</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Altyazı yalnız reddetme alt ölçeği maddelerindeki taban etkisini tanımlar.</w:t>
            </w:r>
          </w:p>
        </w:tc>
        <w:tc>
          <w:tcPr>
            <w:tcW w:type="dxa" w:w="1994"/>
            <w:vAlign w:val="center"/>
          </w:tcPr>
          <w:p>
            <w:r/>
            <w:r>
              <w:rPr>
                <w:rFonts w:ascii="Arial" w:hAnsi="Arial"/>
                <w:b w:val="0"/>
                <w:sz w:val="15"/>
              </w:rPr>
              <w:t>Şekil reddetme yanında sıcaklık, aşırı koruma ve karşılaştırma maddelerini de renklerle gösteriyor.</w:t>
            </w:r>
          </w:p>
        </w:tc>
        <w:tc>
          <w:tcPr>
            <w:tcW w:type="dxa" w:w="1994"/>
            <w:vAlign w:val="center"/>
          </w:tcPr>
          <w:p>
            <w:r/>
            <w:r>
              <w:rPr>
                <w:rFonts w:ascii="Arial" w:hAnsi="Arial"/>
                <w:b w:val="0"/>
                <w:sz w:val="15"/>
              </w:rPr>
              <w:t>Altyazı tüm alt ölçekleri kapsayacak şekilde değiştirilmeli veya grafik yalnız reddetme maddelerine filtrelenmeli.</w:t>
            </w:r>
          </w:p>
        </w:tc>
      </w:tr>
      <w:tr>
        <w:tc>
          <w:tcPr>
            <w:tcW w:type="dxa" w:w="1994"/>
            <w:vAlign w:val="center"/>
          </w:tcPr>
          <w:p>
            <w:r/>
            <w:r>
              <w:rPr>
                <w:rFonts w:ascii="Arial" w:hAnsi="Arial"/>
                <w:b w:val="0"/>
                <w:sz w:val="15"/>
              </w:rPr>
              <w:t>Şekil 15</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Metin ve Tablo 22 optimizm-düzeltilmiş eğim 0,77 ve sabit 0,01’i raporluyor.</w:t>
            </w:r>
          </w:p>
        </w:tc>
        <w:tc>
          <w:tcPr>
            <w:tcW w:type="dxa" w:w="1994"/>
            <w:vAlign w:val="center"/>
          </w:tcPr>
          <w:p>
            <w:r/>
            <w:r>
              <w:rPr>
                <w:rFonts w:ascii="Arial" w:hAnsi="Arial"/>
                <w:b w:val="0"/>
                <w:sz w:val="15"/>
              </w:rPr>
              <w:t>Şekil 15 görünür/apparent tahminlerden üretilmiş binned calibration grafiği; düzeltilmiş eğri veya 0,77/0,01 değerleri şekil üzerinde yok.</w:t>
            </w:r>
          </w:p>
        </w:tc>
        <w:tc>
          <w:tcPr>
            <w:tcW w:type="dxa" w:w="1994"/>
            <w:vAlign w:val="center"/>
          </w:tcPr>
          <w:p>
            <w:r/>
            <w:r>
              <w:rPr>
                <w:rFonts w:ascii="Arial" w:hAnsi="Arial"/>
                <w:b w:val="0"/>
                <w:sz w:val="15"/>
              </w:rPr>
              <w:t>Altyazı “görünür kalibrasyon grafiği” olarak düzeltilip düzeltilmiş ölçütler Tablo 22’ye yönlendirilmeli veya bootstrap-düzeltilmiş kalibrasyon ayrıca çizilmeli.</w:t>
            </w:r>
          </w:p>
        </w:tc>
      </w:tr>
      <w:tr>
        <w:tc>
          <w:tcPr>
            <w:tcW w:type="dxa" w:w="1994"/>
            <w:vAlign w:val="center"/>
          </w:tcPr>
          <w:p>
            <w:r/>
            <w:r>
              <w:rPr>
                <w:rFonts w:ascii="Arial" w:hAnsi="Arial"/>
                <w:b w:val="0"/>
                <w:sz w:val="15"/>
              </w:rPr>
              <w:t>Şekil 21</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Metin eşik 0,05’te standardize net faydayı 0,86 olarak bildiriyor.</w:t>
            </w:r>
          </w:p>
        </w:tc>
        <w:tc>
          <w:tcPr>
            <w:tcW w:type="dxa" w:w="1994"/>
            <w:vAlign w:val="center"/>
          </w:tcPr>
          <w:p>
            <w:r/>
            <w:r>
              <w:rPr>
                <w:rFonts w:ascii="Arial" w:hAnsi="Arial"/>
                <w:b w:val="0"/>
                <w:sz w:val="15"/>
              </w:rPr>
              <w:t>Isı haritası aynı hücrede ham net fayda 0,23 gösteriyor ve ölçek “Net benefit” olarak etiketleniyor; standardizasyon dönüşümü açıklanmıyor.</w:t>
            </w:r>
          </w:p>
        </w:tc>
        <w:tc>
          <w:tcPr>
            <w:tcW w:type="dxa" w:w="1994"/>
            <w:vAlign w:val="center"/>
          </w:tcPr>
          <w:p>
            <w:r/>
            <w:r>
              <w:rPr>
                <w:rFonts w:ascii="Arial" w:hAnsi="Arial"/>
                <w:b w:val="0"/>
                <w:sz w:val="15"/>
              </w:rPr>
              <w:t>Ham ve standardize net fayda ayrılmalı; sNB=NB/prevalans gibi kullanılan formül ve payda şekil notunda belirtilmeli ya da aynı ölçek raporlanmalı.</w:t>
            </w:r>
          </w:p>
        </w:tc>
      </w:tr>
      <w:tr>
        <w:tc>
          <w:tcPr>
            <w:tcW w:type="dxa" w:w="1994"/>
            <w:vAlign w:val="center"/>
          </w:tcPr>
          <w:p>
            <w:r/>
            <w:r>
              <w:rPr>
                <w:rFonts w:ascii="Arial" w:hAnsi="Arial"/>
                <w:b w:val="0"/>
                <w:sz w:val="15"/>
              </w:rPr>
              <w:t>Tablo 6</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Metin SMD 0,10–0,25’i “sınırda”, 0,25–0,50’yi “dengesiz” tanımlar; buna rağmen anne yaşı 0,21, ISEI 0,23 ve yaş farkı 0,22 tablo/metinde “dengesiz” olarak etiketleniyor.</w:t>
            </w:r>
          </w:p>
        </w:tc>
        <w:tc>
          <w:tcPr>
            <w:tcW w:type="dxa" w:w="1994"/>
            <w:vAlign w:val="center"/>
          </w:tcPr>
          <w:p>
            <w:r/>
            <w:r>
              <w:rPr>
                <w:rFonts w:ascii="Arial" w:hAnsi="Arial"/>
                <w:b w:val="0"/>
                <w:sz w:val="15"/>
              </w:rPr>
              <w:t>—</w:t>
            </w:r>
          </w:p>
        </w:tc>
        <w:tc>
          <w:tcPr>
            <w:tcW w:type="dxa" w:w="1994"/>
            <w:vAlign w:val="center"/>
          </w:tcPr>
          <w:p>
            <w:r/>
            <w:r>
              <w:rPr>
                <w:rFonts w:ascii="Arial" w:hAnsi="Arial"/>
                <w:b w:val="0"/>
                <w:sz w:val="15"/>
              </w:rPr>
              <w:t>Denge sınıfları programatik olarak aynı eşik fonksiyonundan üretilmeli; 0,21–0,23 değerleri “sınırda” olmalı.</w:t>
            </w:r>
          </w:p>
        </w:tc>
      </w:tr>
      <w:tr>
        <w:tc>
          <w:tcPr>
            <w:tcW w:type="dxa" w:w="1994"/>
            <w:vAlign w:val="center"/>
          </w:tcPr>
          <w:p>
            <w:r/>
            <w:r>
              <w:rPr>
                <w:rFonts w:ascii="Arial" w:hAnsi="Arial"/>
                <w:b w:val="0"/>
                <w:sz w:val="15"/>
              </w:rPr>
              <w:t>Tablo 12</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Bayes anlatısı H1 reddetme için posterior “medyan” b=0,16 derken tablo “posterior ortalama” 0,158 raporlar.</w:t>
            </w:r>
          </w:p>
        </w:tc>
        <w:tc>
          <w:tcPr>
            <w:tcW w:type="dxa" w:w="1994"/>
            <w:vAlign w:val="center"/>
          </w:tcPr>
          <w:p>
            <w:r/>
            <w:r>
              <w:rPr>
                <w:rFonts w:ascii="Arial" w:hAnsi="Arial"/>
                <w:b w:val="0"/>
                <w:sz w:val="15"/>
              </w:rPr>
              <w:t>—</w:t>
            </w:r>
          </w:p>
        </w:tc>
        <w:tc>
          <w:tcPr>
            <w:tcW w:type="dxa" w:w="1994"/>
            <w:vAlign w:val="center"/>
          </w:tcPr>
          <w:p>
            <w:r/>
            <w:r>
              <w:rPr>
                <w:rFonts w:ascii="Arial" w:hAnsi="Arial"/>
                <w:b w:val="0"/>
                <w:sz w:val="15"/>
              </w:rPr>
              <w:t>Gerçekte kullanılan özet istatistik seçilmeli; tüm metin ve tablolar “posterior ortalama” veya “posterior medyan” olarak tekleştirilmeli.</w:t>
            </w:r>
          </w:p>
        </w:tc>
      </w:tr>
      <w:tr>
        <w:tc>
          <w:tcPr>
            <w:tcW w:type="dxa" w:w="1994"/>
            <w:vAlign w:val="center"/>
          </w:tcPr>
          <w:p>
            <w:r/>
            <w:r>
              <w:rPr>
                <w:rFonts w:ascii="Arial" w:hAnsi="Arial"/>
                <w:b w:val="0"/>
                <w:sz w:val="15"/>
              </w:rPr>
              <w:t>Tablo 16</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TOST satırlarının “Aralık” hücresinde yalnız “d=” bulunuyor; eşdeğerlik sınırı/aralık değeri kayıp.</w:t>
            </w:r>
          </w:p>
        </w:tc>
        <w:tc>
          <w:tcPr>
            <w:tcW w:type="dxa" w:w="1994"/>
            <w:vAlign w:val="center"/>
          </w:tcPr>
          <w:p>
            <w:r/>
            <w:r>
              <w:rPr>
                <w:rFonts w:ascii="Arial" w:hAnsi="Arial"/>
                <w:b w:val="0"/>
                <w:sz w:val="15"/>
              </w:rPr>
              <w:t>—</w:t>
            </w:r>
          </w:p>
        </w:tc>
        <w:tc>
          <w:tcPr>
            <w:tcW w:type="dxa" w:w="1994"/>
            <w:vAlign w:val="center"/>
          </w:tcPr>
          <w:p>
            <w:r/>
            <w:r>
              <w:rPr>
                <w:rFonts w:ascii="Arial" w:hAnsi="Arial"/>
                <w:b w:val="0"/>
                <w:sz w:val="15"/>
              </w:rPr>
              <w:t>Gerçek TOST alt–üst sınırları yazılmalı veya boş/bozuk “d=” sütunu kaldırılmalı.</w:t>
            </w:r>
          </w:p>
        </w:tc>
      </w:tr>
      <w:tr>
        <w:tc>
          <w:tcPr>
            <w:tcW w:type="dxa" w:w="1994"/>
            <w:vAlign w:val="center"/>
          </w:tcPr>
          <w:p>
            <w:r/>
            <w:r>
              <w:rPr>
                <w:rFonts w:ascii="Arial" w:hAnsi="Arial"/>
                <w:b w:val="0"/>
                <w:sz w:val="15"/>
              </w:rPr>
              <w:t>Tablo 18</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Metin H5’i beş stratejiyle özetler; Tablo 18 RSA (Strateji 2) ve ortak yazgı modeli (Strateji 3) sonuçlarını/başarısız yakınsamayı içermiyor.</w:t>
            </w:r>
          </w:p>
        </w:tc>
        <w:tc>
          <w:tcPr>
            <w:tcW w:type="dxa" w:w="1994"/>
            <w:vAlign w:val="center"/>
          </w:tcPr>
          <w:p>
            <w:r/>
            <w:r>
              <w:rPr>
                <w:rFonts w:ascii="Arial" w:hAnsi="Arial"/>
                <w:b w:val="0"/>
                <w:sz w:val="15"/>
              </w:rPr>
              <w:t>—</w:t>
            </w:r>
          </w:p>
        </w:tc>
        <w:tc>
          <w:tcPr>
            <w:tcW w:type="dxa" w:w="1994"/>
            <w:vAlign w:val="center"/>
          </w:tcPr>
          <w:p>
            <w:r/>
            <w:r>
              <w:rPr>
                <w:rFonts w:ascii="Arial" w:hAnsi="Arial"/>
                <w:b w:val="0"/>
                <w:sz w:val="15"/>
              </w:rPr>
              <w:t>Tabloya RSA ve ortak yazgı satırları eklenmeli; tablo başlığı gerçekten “beş stratejinin özeti” olacak şekilde tamamlanmalı.</w:t>
            </w:r>
          </w:p>
        </w:tc>
      </w:tr>
      <w:tr>
        <w:tc>
          <w:tcPr>
            <w:tcW w:type="dxa" w:w="1994"/>
            <w:vAlign w:val="center"/>
          </w:tcPr>
          <w:p>
            <w:r/>
            <w:r>
              <w:rPr>
                <w:rFonts w:ascii="Arial" w:hAnsi="Arial"/>
                <w:b w:val="0"/>
                <w:sz w:val="15"/>
              </w:rPr>
              <w:t>Tablo 26</w:t>
            </w:r>
          </w:p>
        </w:tc>
        <w:tc>
          <w:tcPr>
            <w:tcW w:type="dxa" w:w="1994"/>
            <w:vAlign w:val="center"/>
            <w:shd w:fill="FCE5CD"/>
          </w:tcPr>
          <w:p>
            <w:r/>
            <w:r>
              <w:rPr>
                <w:rFonts w:ascii="Arial" w:hAnsi="Arial"/>
                <w:b w:val="0"/>
                <w:sz w:val="15"/>
              </w:rPr>
              <w:t>Majör</w:t>
            </w:r>
          </w:p>
        </w:tc>
        <w:tc>
          <w:tcPr>
            <w:tcW w:type="dxa" w:w="1994"/>
            <w:vAlign w:val="center"/>
          </w:tcPr>
          <w:p>
            <w:r/>
            <w:r>
              <w:rPr>
                <w:rFonts w:ascii="Arial" w:hAnsi="Arial"/>
                <w:b w:val="0"/>
                <w:sz w:val="15"/>
              </w:rPr>
              <w:t>Bayes anlatısı posterior medyan, Tablo 26 “Ortalama” raporlar. ESS açıklaması doğru olsa da özet istatistik eşit değildir.</w:t>
            </w:r>
          </w:p>
        </w:tc>
        <w:tc>
          <w:tcPr>
            <w:tcW w:type="dxa" w:w="1994"/>
            <w:vAlign w:val="center"/>
          </w:tcPr>
          <w:p>
            <w:r/>
            <w:r>
              <w:rPr>
                <w:rFonts w:ascii="Arial" w:hAnsi="Arial"/>
                <w:b w:val="0"/>
                <w:sz w:val="15"/>
              </w:rPr>
              <w:t>—</w:t>
            </w:r>
          </w:p>
        </w:tc>
        <w:tc>
          <w:tcPr>
            <w:tcW w:type="dxa" w:w="1994"/>
            <w:vAlign w:val="center"/>
          </w:tcPr>
          <w:p>
            <w:r/>
            <w:r>
              <w:rPr>
                <w:rFonts w:ascii="Arial" w:hAnsi="Arial"/>
                <w:b w:val="0"/>
                <w:sz w:val="15"/>
              </w:rPr>
              <w:t>Tablo 12 ve 26 ile anlatı aynı posterior özetine bağlanmalı.</w:t>
            </w:r>
          </w:p>
        </w:tc>
      </w:tr>
    </w:tbl>
    <w:p>
      <w:pPr>
        <w:sectPr>
          <w:pgSz w:w="12240" w:h="15840"/>
          <w:pgMar w:top="1020" w:right="1134" w:bottom="1020" w:left="1134" w:header="720" w:footer="720" w:gutter="0"/>
          <w:cols w:space="720"/>
          <w:docGrid w:linePitch="360"/>
        </w:sectPr>
      </w:pPr>
    </w:p>
    <w:p>
      <w:pPr>
        <w:pStyle w:val="Heading1"/>
      </w:pPr>
      <w:r>
        <w:t>4. Şekillerin tam eşitlik matrisi</w:t>
      </w:r>
    </w:p>
    <w:tbl>
      <w:tblPr>
        <w:tblStyle w:val="TableGrid"/>
        <w:tblW w:type="auto" w:w="0"/>
        <w:jc w:val="center"/>
        <w:tblLook w:firstColumn="1" w:firstRow="1" w:lastColumn="0" w:lastRow="0" w:noHBand="0" w:noVBand="1" w:val="04A0"/>
      </w:tblPr>
      <w:tblGrid>
        <w:gridCol w:w="2394"/>
        <w:gridCol w:w="2394"/>
        <w:gridCol w:w="2394"/>
        <w:gridCol w:w="2394"/>
        <w:gridCol w:w="2394"/>
        <w:gridCol w:w="2394"/>
      </w:tblGrid>
      <w:tr>
        <w:trPr>
          <w:tblHeader w:val="true"/>
        </w:trPr>
        <w:tc>
          <w:tcPr>
            <w:tcW w:type="dxa" w:w="2394"/>
            <w:vAlign w:val="center"/>
            <w:shd w:fill="D9EAF7"/>
          </w:tcPr>
          <w:p>
            <w:r/>
            <w:r>
              <w:rPr>
                <w:rFonts w:ascii="Arial" w:hAnsi="Arial"/>
                <w:b/>
                <w:sz w:val="13"/>
              </w:rPr>
              <w:t>No</w:t>
            </w:r>
          </w:p>
        </w:tc>
        <w:tc>
          <w:tcPr>
            <w:tcW w:type="dxa" w:w="2394"/>
            <w:vAlign w:val="center"/>
            <w:shd w:fill="D9EAF7"/>
          </w:tcPr>
          <w:p>
            <w:r/>
            <w:r>
              <w:rPr>
                <w:rFonts w:ascii="Arial" w:hAnsi="Arial"/>
                <w:b/>
                <w:sz w:val="13"/>
              </w:rPr>
              <w:t>Durum</w:t>
            </w:r>
          </w:p>
        </w:tc>
        <w:tc>
          <w:tcPr>
            <w:tcW w:type="dxa" w:w="2394"/>
            <w:vAlign w:val="center"/>
            <w:shd w:fill="D9EAF7"/>
          </w:tcPr>
          <w:p>
            <w:r/>
            <w:r>
              <w:rPr>
                <w:rFonts w:ascii="Arial" w:hAnsi="Arial"/>
                <w:b/>
                <w:sz w:val="13"/>
              </w:rPr>
              <w:t>Boyut</w:t>
            </w:r>
          </w:p>
        </w:tc>
        <w:tc>
          <w:tcPr>
            <w:tcW w:type="dxa" w:w="2394"/>
            <w:vAlign w:val="center"/>
            <w:shd w:fill="D9EAF7"/>
          </w:tcPr>
          <w:p>
            <w:r/>
            <w:r>
              <w:rPr>
                <w:rFonts w:ascii="Arial" w:hAnsi="Arial"/>
                <w:b/>
                <w:sz w:val="13"/>
              </w:rPr>
              <w:t>Metin/altyazı iddiası</w:t>
            </w:r>
          </w:p>
        </w:tc>
        <w:tc>
          <w:tcPr>
            <w:tcW w:type="dxa" w:w="2394"/>
            <w:vAlign w:val="center"/>
            <w:shd w:fill="D9EAF7"/>
          </w:tcPr>
          <w:p>
            <w:r/>
            <w:r>
              <w:rPr>
                <w:rFonts w:ascii="Arial" w:hAnsi="Arial"/>
                <w:b/>
                <w:sz w:val="13"/>
              </w:rPr>
              <w:t>Şekilde gözlenen</w:t>
            </w:r>
          </w:p>
        </w:tc>
        <w:tc>
          <w:tcPr>
            <w:tcW w:type="dxa" w:w="2394"/>
            <w:vAlign w:val="center"/>
            <w:shd w:fill="D9EAF7"/>
          </w:tcPr>
          <w:p>
            <w:r/>
            <w:r>
              <w:rPr>
                <w:rFonts w:ascii="Arial" w:hAnsi="Arial"/>
                <w:b/>
                <w:sz w:val="13"/>
              </w:rPr>
              <w:t>İşlem</w:t>
            </w:r>
          </w:p>
        </w:tc>
      </w:tr>
      <w:tr>
        <w:tc>
          <w:tcPr>
            <w:tcW w:type="dxa" w:w="2394"/>
            <w:vAlign w:val="center"/>
          </w:tcPr>
          <w:p>
            <w:r/>
            <w:r>
              <w:rPr>
                <w:rFonts w:ascii="Arial" w:hAnsi="Arial"/>
                <w:b w:val="0"/>
                <w:sz w:val="13"/>
              </w:rPr>
              <w:t>1</w:t>
            </w:r>
          </w:p>
        </w:tc>
        <w:tc>
          <w:tcPr>
            <w:tcW w:type="dxa" w:w="2394"/>
            <w:vAlign w:val="center"/>
            <w:shd w:fill="FCE5CD"/>
          </w:tcPr>
          <w:p>
            <w:r/>
            <w:r>
              <w:rPr>
                <w:rFonts w:ascii="Arial" w:hAnsi="Arial"/>
                <w:b w:val="0"/>
                <w:sz w:val="13"/>
              </w:rPr>
              <w:t>Majör</w:t>
            </w:r>
          </w:p>
        </w:tc>
        <w:tc>
          <w:tcPr>
            <w:tcW w:type="dxa" w:w="2394"/>
            <w:vAlign w:val="center"/>
          </w:tcPr>
          <w:p>
            <w:r/>
            <w:r>
              <w:rPr>
                <w:rFonts w:ascii="Arial" w:hAnsi="Arial"/>
                <w:b w:val="0"/>
                <w:sz w:val="13"/>
              </w:rPr>
              <w:t>Metin/akış</w:t>
            </w:r>
          </w:p>
        </w:tc>
        <w:tc>
          <w:tcPr>
            <w:tcW w:type="dxa" w:w="2394"/>
            <w:vAlign w:val="center"/>
          </w:tcPr>
          <w:p>
            <w:r/>
            <w:r>
              <w:rPr>
                <w:rFonts w:ascii="Arial" w:hAnsi="Arial"/>
                <w:b w:val="0"/>
                <w:sz w:val="13"/>
              </w:rPr>
              <w:t>DM klinik alt-analizin yalnız DM indeks ailelerinden oluştuğu belirtiliyor.</w:t>
            </w:r>
          </w:p>
        </w:tc>
        <w:tc>
          <w:tcPr>
            <w:tcW w:type="dxa" w:w="2394"/>
            <w:vAlign w:val="center"/>
          </w:tcPr>
          <w:p>
            <w:r/>
            <w:r>
              <w:rPr>
                <w:rFonts w:ascii="Arial" w:hAnsi="Arial"/>
                <w:b w:val="0"/>
                <w:sz w:val="13"/>
              </w:rPr>
              <w:t>Şemada hem DM hem kontrol kolu HbA1c gözlenen n=39 DM klinik alt-analiz düğümüne bağlanıyor.</w:t>
            </w:r>
          </w:p>
        </w:tc>
        <w:tc>
          <w:tcPr>
            <w:tcW w:type="dxa" w:w="2394"/>
            <w:vAlign w:val="center"/>
          </w:tcPr>
          <w:p>
            <w:r/>
            <w:r>
              <w:rPr>
                <w:rFonts w:ascii="Arial" w:hAnsi="Arial"/>
                <w:b w:val="0"/>
                <w:sz w:val="13"/>
              </w:rPr>
              <w:t>Kontrol→DM klinik alt-analiz oku kaldırılmalı; klinik alt-analiz yalnız DM kolundan türetilmeli.</w:t>
            </w:r>
          </w:p>
        </w:tc>
      </w:tr>
      <w:tr>
        <w:tc>
          <w:tcPr>
            <w:tcW w:type="dxa" w:w="2394"/>
            <w:vAlign w:val="center"/>
          </w:tcPr>
          <w:p>
            <w:r/>
            <w:r>
              <w:rPr>
                <w:rFonts w:ascii="Arial" w:hAnsi="Arial"/>
                <w:b w:val="0"/>
                <w:sz w:val="13"/>
              </w:rPr>
              <w:t>2</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DAG ayarlama seti latent SES, kardeş yaş farkı ve aile büyüklüğünü; Beck/antidepresanı duyarlılık/aracı düğümleri olarak tanımlar.</w:t>
            </w:r>
          </w:p>
        </w:tc>
        <w:tc>
          <w:tcPr>
            <w:tcW w:type="dxa" w:w="2394"/>
            <w:vAlign w:val="center"/>
          </w:tcPr>
          <w:p>
            <w:r/>
            <w:r>
              <w:rPr>
                <w:rFonts w:ascii="Arial" w:hAnsi="Arial"/>
                <w:b w:val="0"/>
                <w:sz w:val="13"/>
              </w:rPr>
              <w:t>Şekil aynı düğüm ve rol ayrımını gösteriyor.</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3</w:t>
            </w:r>
          </w:p>
        </w:tc>
        <w:tc>
          <w:tcPr>
            <w:tcW w:type="dxa" w:w="2394"/>
            <w:vAlign w:val="center"/>
            <w:shd w:fill="FFF2CC"/>
          </w:tcPr>
          <w:p>
            <w:r/>
            <w:r>
              <w:rPr>
                <w:rFonts w:ascii="Arial" w:hAnsi="Arial"/>
                <w:b w:val="0"/>
                <w:sz w:val="13"/>
              </w:rPr>
              <w:t>Kısmi</w:t>
            </w:r>
          </w:p>
        </w:tc>
        <w:tc>
          <w:tcPr>
            <w:tcW w:type="dxa" w:w="2394"/>
            <w:vAlign w:val="center"/>
          </w:tcPr>
          <w:p>
            <w:r/>
            <w:r>
              <w:rPr>
                <w:rFonts w:ascii="Arial" w:hAnsi="Arial"/>
                <w:b w:val="0"/>
                <w:sz w:val="13"/>
              </w:rPr>
              <w:t>Tablo–şekil</w:t>
            </w:r>
          </w:p>
        </w:tc>
        <w:tc>
          <w:tcPr>
            <w:tcW w:type="dxa" w:w="2394"/>
            <w:vAlign w:val="center"/>
          </w:tcPr>
          <w:p>
            <w:r/>
            <w:r>
              <w:rPr>
                <w:rFonts w:ascii="Arial" w:hAnsi="Arial"/>
                <w:b w:val="0"/>
                <w:sz w:val="13"/>
              </w:rPr>
              <w:t>Tablo 9 ortak desteği [0,394; 0,672] olarak verir.</w:t>
            </w:r>
          </w:p>
        </w:tc>
        <w:tc>
          <w:tcPr>
            <w:tcW w:type="dxa" w:w="2394"/>
            <w:vAlign w:val="center"/>
          </w:tcPr>
          <w:p>
            <w:r/>
            <w:r>
              <w:rPr>
                <w:rFonts w:ascii="Arial" w:hAnsi="Arial"/>
                <w:b w:val="0"/>
                <w:sz w:val="13"/>
              </w:rPr>
              <w:t>Şekil altyazısında 0,395–0,671 kullanılmış.</w:t>
            </w:r>
          </w:p>
        </w:tc>
        <w:tc>
          <w:tcPr>
            <w:tcW w:type="dxa" w:w="2394"/>
            <w:vAlign w:val="center"/>
          </w:tcPr>
          <w:p>
            <w:r/>
            <w:r>
              <w:rPr>
                <w:rFonts w:ascii="Arial" w:hAnsi="Arial"/>
                <w:b w:val="0"/>
                <w:sz w:val="13"/>
              </w:rPr>
              <w:t>Tek yuvarlama kuralı seçilip tablo, metin ve şekle aynı değer basılmalı.</w:t>
            </w:r>
          </w:p>
        </w:tc>
      </w:tr>
      <w:tr>
        <w:tc>
          <w:tcPr>
            <w:tcW w:type="dxa" w:w="2394"/>
            <w:vAlign w:val="center"/>
          </w:tcPr>
          <w:p>
            <w:r/>
            <w:r>
              <w:rPr>
                <w:rFonts w:ascii="Arial" w:hAnsi="Arial"/>
                <w:b w:val="0"/>
                <w:sz w:val="13"/>
              </w:rPr>
              <w:t>4</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Latent SES’in eğitim, meslek ve materyal bileşenlerle korelasyon yapısının gösterildiği belirtiliyor.</w:t>
            </w:r>
          </w:p>
        </w:tc>
        <w:tc>
          <w:tcPr>
            <w:tcW w:type="dxa" w:w="2394"/>
            <w:vAlign w:val="center"/>
          </w:tcPr>
          <w:p>
            <w:r/>
            <w:r>
              <w:rPr>
                <w:rFonts w:ascii="Arial" w:hAnsi="Arial"/>
                <w:b w:val="0"/>
                <w:sz w:val="13"/>
              </w:rPr>
              <w:t>Şekil aynı altı bileşenli korelasyon matrisini gösteriyor.</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5</w:t>
            </w:r>
          </w:p>
        </w:tc>
        <w:tc>
          <w:tcPr>
            <w:tcW w:type="dxa" w:w="2394"/>
            <w:vAlign w:val="center"/>
            <w:shd w:fill="FCE5CD"/>
          </w:tcPr>
          <w:p>
            <w:r/>
            <w:r>
              <w:rPr>
                <w:rFonts w:ascii="Arial" w:hAnsi="Arial"/>
                <w:b w:val="0"/>
                <w:sz w:val="13"/>
              </w:rPr>
              <w:t>Majör</w:t>
            </w:r>
          </w:p>
        </w:tc>
        <w:tc>
          <w:tcPr>
            <w:tcW w:type="dxa" w:w="2394"/>
            <w:vAlign w:val="center"/>
          </w:tcPr>
          <w:p>
            <w:r/>
            <w:r>
              <w:rPr>
                <w:rFonts w:ascii="Arial" w:hAnsi="Arial"/>
                <w:b w:val="0"/>
                <w:sz w:val="13"/>
              </w:rPr>
              <w:t>Metin/altyazı–şekil</w:t>
            </w:r>
          </w:p>
        </w:tc>
        <w:tc>
          <w:tcPr>
            <w:tcW w:type="dxa" w:w="2394"/>
            <w:vAlign w:val="center"/>
          </w:tcPr>
          <w:p>
            <w:r/>
            <w:r>
              <w:rPr>
                <w:rFonts w:ascii="Arial" w:hAnsi="Arial"/>
                <w:b w:val="0"/>
                <w:sz w:val="13"/>
              </w:rPr>
              <w:t>Metin ve altyazı, kontrol grubundaki DM yılı/HbA1c gibi yapısal eksik hücrelerin görselleştirildiğini söylüyor.</w:t>
            </w:r>
          </w:p>
        </w:tc>
        <w:tc>
          <w:tcPr>
            <w:tcW w:type="dxa" w:w="2394"/>
            <w:vAlign w:val="center"/>
          </w:tcPr>
          <w:p>
            <w:r/>
            <w:r>
              <w:rPr>
                <w:rFonts w:ascii="Arial" w:hAnsi="Arial"/>
                <w:b w:val="0"/>
                <w:sz w:val="13"/>
              </w:rPr>
              <w:t>Şekil “Primary FIML/MI frame missingness” başlığı altında yalnız analitik FIML/MI eksikliğini ve toplam %0,3 eksikliği gösteriyor; yapısal eksik blokları görünmüyor.</w:t>
            </w:r>
          </w:p>
        </w:tc>
        <w:tc>
          <w:tcPr>
            <w:tcW w:type="dxa" w:w="2394"/>
            <w:vAlign w:val="center"/>
          </w:tcPr>
          <w:p>
            <w:r/>
            <w:r>
              <w:rPr>
                <w:rFonts w:ascii="Arial" w:hAnsi="Arial"/>
                <w:b w:val="0"/>
                <w:sz w:val="13"/>
              </w:rPr>
              <w:t>Ya yapısal eksik hücreleri ayrı renk/katmanla şekle ekleyin ya da metin ve altyazıyı yalnız analitik eksiklik olarak düzeltin.</w:t>
            </w:r>
          </w:p>
        </w:tc>
      </w:tr>
      <w:tr>
        <w:tc>
          <w:tcPr>
            <w:tcW w:type="dxa" w:w="2394"/>
            <w:vAlign w:val="center"/>
          </w:tcPr>
          <w:p>
            <w:r/>
            <w:r>
              <w:rPr>
                <w:rFonts w:ascii="Arial" w:hAnsi="Arial"/>
                <w:b w:val="0"/>
                <w:sz w:val="13"/>
              </w:rPr>
              <w:t>6</w:t>
            </w:r>
          </w:p>
        </w:tc>
        <w:tc>
          <w:tcPr>
            <w:tcW w:type="dxa" w:w="2394"/>
            <w:vAlign w:val="center"/>
            <w:shd w:fill="FCE5CD"/>
          </w:tcPr>
          <w:p>
            <w:r/>
            <w:r>
              <w:rPr>
                <w:rFonts w:ascii="Arial" w:hAnsi="Arial"/>
                <w:b w:val="0"/>
                <w:sz w:val="13"/>
              </w:rPr>
              <w:t>Majör</w:t>
            </w:r>
          </w:p>
        </w:tc>
        <w:tc>
          <w:tcPr>
            <w:tcW w:type="dxa" w:w="2394"/>
            <w:vAlign w:val="center"/>
          </w:tcPr>
          <w:p>
            <w:r/>
            <w:r>
              <w:rPr>
                <w:rFonts w:ascii="Arial" w:hAnsi="Arial"/>
                <w:b w:val="0"/>
                <w:sz w:val="13"/>
              </w:rPr>
              <w:t>Altyazı–şekil</w:t>
            </w:r>
          </w:p>
        </w:tc>
        <w:tc>
          <w:tcPr>
            <w:tcW w:type="dxa" w:w="2394"/>
            <w:vAlign w:val="center"/>
          </w:tcPr>
          <w:p>
            <w:r/>
            <w:r>
              <w:rPr>
                <w:rFonts w:ascii="Arial" w:hAnsi="Arial"/>
                <w:b w:val="0"/>
                <w:sz w:val="13"/>
              </w:rPr>
              <w:t>Altyazı α ve ω katsayılarının %95 güven aralıklarıyla gösterildiğini söylüyor.</w:t>
            </w:r>
          </w:p>
        </w:tc>
        <w:tc>
          <w:tcPr>
            <w:tcW w:type="dxa" w:w="2394"/>
            <w:vAlign w:val="center"/>
          </w:tcPr>
          <w:p>
            <w:r/>
            <w:r>
              <w:rPr>
                <w:rFonts w:ascii="Arial" w:hAnsi="Arial"/>
                <w:b w:val="0"/>
                <w:sz w:val="13"/>
              </w:rPr>
              <w:t>Grafikte sütunlar var, güven aralığı hata çubukları yok.</w:t>
            </w:r>
          </w:p>
        </w:tc>
        <w:tc>
          <w:tcPr>
            <w:tcW w:type="dxa" w:w="2394"/>
            <w:vAlign w:val="center"/>
          </w:tcPr>
          <w:p>
            <w:r/>
            <w:r>
              <w:rPr>
                <w:rFonts w:ascii="Arial" w:hAnsi="Arial"/>
                <w:b w:val="0"/>
                <w:sz w:val="13"/>
              </w:rPr>
              <w:t>Güven aralıkları grafiğe eklenmeli veya altyazıdan “%95 güven aralığıyla” çıkarılmalı.</w:t>
            </w:r>
          </w:p>
        </w:tc>
      </w:tr>
      <w:tr>
        <w:tc>
          <w:tcPr>
            <w:tcW w:type="dxa" w:w="2394"/>
            <w:vAlign w:val="center"/>
          </w:tcPr>
          <w:p>
            <w:r/>
            <w:r>
              <w:rPr>
                <w:rFonts w:ascii="Arial" w:hAnsi="Arial"/>
                <w:b w:val="0"/>
                <w:sz w:val="13"/>
              </w:rPr>
              <w:t>7</w:t>
            </w:r>
          </w:p>
        </w:tc>
        <w:tc>
          <w:tcPr>
            <w:tcW w:type="dxa" w:w="2394"/>
            <w:vAlign w:val="center"/>
            <w:shd w:fill="FCE5CD"/>
          </w:tcPr>
          <w:p>
            <w:r/>
            <w:r>
              <w:rPr>
                <w:rFonts w:ascii="Arial" w:hAnsi="Arial"/>
                <w:b w:val="0"/>
                <w:sz w:val="13"/>
              </w:rPr>
              <w:t>Majör</w:t>
            </w:r>
          </w:p>
        </w:tc>
        <w:tc>
          <w:tcPr>
            <w:tcW w:type="dxa" w:w="2394"/>
            <w:vAlign w:val="center"/>
          </w:tcPr>
          <w:p>
            <w:r/>
            <w:r>
              <w:rPr>
                <w:rFonts w:ascii="Arial" w:hAnsi="Arial"/>
                <w:b w:val="0"/>
                <w:sz w:val="13"/>
              </w:rPr>
              <w:t>Altyazı–şekil</w:t>
            </w:r>
          </w:p>
        </w:tc>
        <w:tc>
          <w:tcPr>
            <w:tcW w:type="dxa" w:w="2394"/>
            <w:vAlign w:val="center"/>
          </w:tcPr>
          <w:p>
            <w:r/>
            <w:r>
              <w:rPr>
                <w:rFonts w:ascii="Arial" w:hAnsi="Arial"/>
                <w:b w:val="0"/>
                <w:sz w:val="13"/>
              </w:rPr>
              <w:t>Altyazı yalnız reddetme alt ölçeği maddelerindeki taban etkisini tanımlar.</w:t>
            </w:r>
          </w:p>
        </w:tc>
        <w:tc>
          <w:tcPr>
            <w:tcW w:type="dxa" w:w="2394"/>
            <w:vAlign w:val="center"/>
          </w:tcPr>
          <w:p>
            <w:r/>
            <w:r>
              <w:rPr>
                <w:rFonts w:ascii="Arial" w:hAnsi="Arial"/>
                <w:b w:val="0"/>
                <w:sz w:val="13"/>
              </w:rPr>
              <w:t>Şekil reddetme yanında sıcaklık, aşırı koruma ve karşılaştırma maddelerini de renklerle gösteriyor.</w:t>
            </w:r>
          </w:p>
        </w:tc>
        <w:tc>
          <w:tcPr>
            <w:tcW w:type="dxa" w:w="2394"/>
            <w:vAlign w:val="center"/>
          </w:tcPr>
          <w:p>
            <w:r/>
            <w:r>
              <w:rPr>
                <w:rFonts w:ascii="Arial" w:hAnsi="Arial"/>
                <w:b w:val="0"/>
                <w:sz w:val="13"/>
              </w:rPr>
              <w:t>Altyazı tüm alt ölçekleri kapsayacak şekilde değiştirilmeli veya grafik yalnız reddetme maddelerine filtrelenmeli.</w:t>
            </w:r>
          </w:p>
        </w:tc>
      </w:tr>
      <w:tr>
        <w:tc>
          <w:tcPr>
            <w:tcW w:type="dxa" w:w="2394"/>
            <w:vAlign w:val="center"/>
          </w:tcPr>
          <w:p>
            <w:r/>
            <w:r>
              <w:rPr>
                <w:rFonts w:ascii="Arial" w:hAnsi="Arial"/>
                <w:b w:val="0"/>
                <w:sz w:val="13"/>
              </w:rPr>
              <w:t>8</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Metin–tablo–şekil</w:t>
            </w:r>
          </w:p>
        </w:tc>
        <w:tc>
          <w:tcPr>
            <w:tcW w:type="dxa" w:w="2394"/>
            <w:vAlign w:val="center"/>
          </w:tcPr>
          <w:p>
            <w:r/>
            <w:r>
              <w:rPr>
                <w:rFonts w:ascii="Arial" w:hAnsi="Arial"/>
                <w:b w:val="0"/>
                <w:sz w:val="13"/>
              </w:rPr>
              <w:t>Dört EMBU boyutu × üç diyad tipi için Bland–Altman haritası tanımlanıyor.</w:t>
            </w:r>
          </w:p>
        </w:tc>
        <w:tc>
          <w:tcPr>
            <w:tcW w:type="dxa" w:w="2394"/>
            <w:vAlign w:val="center"/>
          </w:tcPr>
          <w:p>
            <w:r/>
            <w:r>
              <w:rPr>
                <w:rFonts w:ascii="Arial" w:hAnsi="Arial"/>
                <w:b w:val="0"/>
                <w:sz w:val="13"/>
              </w:rPr>
              <w:t>Şekil 12 panelde aynı boyut/diyad yapısını gösteriyor; Tablo 18 ICC/LoA değerleriyle uyumlu.</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9</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Sıcaklık ve reddetme için havuzlanmış, kontrol ve DM yanıt yüzeyleri tanımlanıyor.</w:t>
            </w:r>
          </w:p>
        </w:tc>
        <w:tc>
          <w:tcPr>
            <w:tcW w:type="dxa" w:w="2394"/>
            <w:vAlign w:val="center"/>
          </w:tcPr>
          <w:p>
            <w:r/>
            <w:r>
              <w:rPr>
                <w:rFonts w:ascii="Arial" w:hAnsi="Arial"/>
                <w:b w:val="0"/>
                <w:sz w:val="13"/>
              </w:rPr>
              <w:t>Şekil aynı 2×3 yüzey yapısını gösteriyor.</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10</w:t>
            </w:r>
          </w:p>
        </w:tc>
        <w:tc>
          <w:tcPr>
            <w:tcW w:type="dxa" w:w="2394"/>
            <w:vAlign w:val="center"/>
            <w:shd w:fill="F4CCCC"/>
          </w:tcPr>
          <w:p>
            <w:r/>
            <w:r>
              <w:rPr>
                <w:rFonts w:ascii="Arial" w:hAnsi="Arial"/>
                <w:b w:val="0"/>
                <w:sz w:val="13"/>
              </w:rPr>
              <w:t>Kritik</w:t>
            </w:r>
          </w:p>
        </w:tc>
        <w:tc>
          <w:tcPr>
            <w:tcW w:type="dxa" w:w="2394"/>
            <w:vAlign w:val="center"/>
          </w:tcPr>
          <w:p>
            <w:r/>
            <w:r>
              <w:rPr>
                <w:rFonts w:ascii="Arial" w:hAnsi="Arial"/>
                <w:b w:val="0"/>
                <w:sz w:val="13"/>
              </w:rPr>
              <w:t>Metin–tablo–şekil</w:t>
            </w:r>
          </w:p>
        </w:tc>
        <w:tc>
          <w:tcPr>
            <w:tcW w:type="dxa" w:w="2394"/>
            <w:vAlign w:val="center"/>
          </w:tcPr>
          <w:p>
            <w:r/>
            <w:r>
              <w:rPr>
                <w:rFonts w:ascii="Arial" w:hAnsi="Arial"/>
                <w:b w:val="0"/>
                <w:sz w:val="13"/>
              </w:rPr>
              <w:t>Metin ve Tablo 20: BIC sayısal minimumu 4 profilde (3949,1), 3 profil ΔBIC≈2 ve parsimoniyle seçildi.</w:t>
            </w:r>
          </w:p>
        </w:tc>
        <w:tc>
          <w:tcPr>
            <w:tcW w:type="dxa" w:w="2394"/>
            <w:vAlign w:val="center"/>
          </w:tcPr>
          <w:p>
            <w:r/>
            <w:r>
              <w:rPr>
                <w:rFonts w:ascii="Arial" w:hAnsi="Arial"/>
                <w:b w:val="0"/>
                <w:sz w:val="13"/>
              </w:rPr>
              <w:t>Şekil 10 içindeki kesikli çizgi ve not, BIC minimumunu 3 profilde gösteriyor; grafik değerleri Tablo 20 ile aynı sürümden değil.</w:t>
            </w:r>
          </w:p>
        </w:tc>
        <w:tc>
          <w:tcPr>
            <w:tcW w:type="dxa" w:w="2394"/>
            <w:vAlign w:val="center"/>
          </w:tcPr>
          <w:p>
            <w:r/>
            <w:r>
              <w:rPr>
                <w:rFonts w:ascii="Arial" w:hAnsi="Arial"/>
                <w:b w:val="0"/>
                <w:sz w:val="13"/>
              </w:rPr>
              <w:t>Şekil 10 kanonik Tablo 20 veri nesnesinden yeniden üretilmeli; 4 profil “BIC minimumu”, 3 profil “seçilen parsimoni çözümü” olarak ayrı işaretlenmeli.</w:t>
            </w:r>
          </w:p>
        </w:tc>
      </w:tr>
      <w:tr>
        <w:tc>
          <w:tcPr>
            <w:tcW w:type="dxa" w:w="2394"/>
            <w:vAlign w:val="center"/>
          </w:tcPr>
          <w:p>
            <w:r/>
            <w:r>
              <w:rPr>
                <w:rFonts w:ascii="Arial" w:hAnsi="Arial"/>
                <w:b w:val="0"/>
                <w:sz w:val="13"/>
              </w:rPr>
              <w:t>11</w:t>
            </w:r>
          </w:p>
        </w:tc>
        <w:tc>
          <w:tcPr>
            <w:tcW w:type="dxa" w:w="2394"/>
            <w:vAlign w:val="center"/>
            <w:shd w:fill="F4CCCC"/>
          </w:tcPr>
          <w:p>
            <w:r/>
            <w:r>
              <w:rPr>
                <w:rFonts w:ascii="Arial" w:hAnsi="Arial"/>
                <w:b w:val="0"/>
                <w:sz w:val="13"/>
              </w:rPr>
              <w:t>Kritik</w:t>
            </w:r>
          </w:p>
        </w:tc>
        <w:tc>
          <w:tcPr>
            <w:tcW w:type="dxa" w:w="2394"/>
            <w:vAlign w:val="center"/>
          </w:tcPr>
          <w:p>
            <w:r/>
            <w:r>
              <w:rPr>
                <w:rFonts w:ascii="Arial" w:hAnsi="Arial"/>
                <w:b w:val="0"/>
                <w:sz w:val="13"/>
              </w:rPr>
              <w:t>Metin–tablo–şekil</w:t>
            </w:r>
          </w:p>
        </w:tc>
        <w:tc>
          <w:tcPr>
            <w:tcW w:type="dxa" w:w="2394"/>
            <w:vAlign w:val="center"/>
          </w:tcPr>
          <w:p>
            <w:r/>
            <w:r>
              <w:rPr>
                <w:rFonts w:ascii="Arial" w:hAnsi="Arial"/>
                <w:b w:val="0"/>
                <w:sz w:val="13"/>
              </w:rPr>
              <w:t>Ağın değişkenleri dört EMBU-P + dört KİA/SRQ + Beck olarak tanımlanıyor.</w:t>
            </w:r>
          </w:p>
        </w:tc>
        <w:tc>
          <w:tcPr>
            <w:tcW w:type="dxa" w:w="2394"/>
            <w:vAlign w:val="center"/>
          </w:tcPr>
          <w:p>
            <w:r/>
            <w:r>
              <w:rPr>
                <w:rFonts w:ascii="Arial" w:hAnsi="Arial"/>
                <w:b w:val="0"/>
                <w:sz w:val="13"/>
              </w:rPr>
              <w:t>Tablo 21 ve Şekil 11’in en yüksek strength değerleri KİA Sıcaklık 0,58, EMBU-P Karşılaştırma 0,51, KİA Çatışma 0,49. Anlatı ise KİA Statü 0,60, EMBU-C Karşılaştırma 0,56, EMBU-C Reddetme 0,53 diyor ve yanlışlıkla Tablo 16’ya gönderiyor.</w:t>
            </w:r>
          </w:p>
        </w:tc>
        <w:tc>
          <w:tcPr>
            <w:tcW w:type="dxa" w:w="2394"/>
            <w:vAlign w:val="center"/>
          </w:tcPr>
          <w:p>
            <w:r/>
            <w:r>
              <w:rPr>
                <w:rFonts w:ascii="Arial" w:hAnsi="Arial"/>
                <w:b w:val="0"/>
                <w:sz w:val="13"/>
              </w:rPr>
              <w:t>Anlatı Tablo 21/Şekil 11’e göre yeniden yazılmalı veya tüm üç artefakt aynı ağ çıktısından yeniden üretilmeli; çapraz başvuru Tablo 21 olmalı.</w:t>
            </w:r>
          </w:p>
        </w:tc>
      </w:tr>
      <w:tr>
        <w:tc>
          <w:tcPr>
            <w:tcW w:type="dxa" w:w="2394"/>
            <w:vAlign w:val="center"/>
          </w:tcPr>
          <w:p>
            <w:r/>
            <w:r>
              <w:rPr>
                <w:rFonts w:ascii="Arial" w:hAnsi="Arial"/>
                <w:b w:val="0"/>
                <w:sz w:val="13"/>
              </w:rPr>
              <w:t>12</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Metin–tablo–şekil</w:t>
            </w:r>
          </w:p>
        </w:tc>
        <w:tc>
          <w:tcPr>
            <w:tcW w:type="dxa" w:w="2394"/>
            <w:vAlign w:val="center"/>
          </w:tcPr>
          <w:p>
            <w:r/>
            <w:r>
              <w:rPr>
                <w:rFonts w:ascii="Arial" w:hAnsi="Arial"/>
                <w:b w:val="0"/>
                <w:sz w:val="13"/>
              </w:rPr>
              <w:t>NCT p değerleri ağ invaryansı ≈0,77 ve global strength ≈0,86 olarak veriliyor.</w:t>
            </w:r>
          </w:p>
        </w:tc>
        <w:tc>
          <w:tcPr>
            <w:tcW w:type="dxa" w:w="2394"/>
            <w:vAlign w:val="center"/>
          </w:tcPr>
          <w:p>
            <w:r/>
            <w:r>
              <w:rPr>
                <w:rFonts w:ascii="Arial" w:hAnsi="Arial"/>
                <w:b w:val="0"/>
                <w:sz w:val="13"/>
              </w:rPr>
              <w:t>Tablo 21, metin ve Şekil 12 yalnız yuvarlama düzeyinde uyumlu.</w:t>
            </w:r>
          </w:p>
        </w:tc>
        <w:tc>
          <w:tcPr>
            <w:tcW w:type="dxa" w:w="2394"/>
            <w:vAlign w:val="center"/>
          </w:tcPr>
          <w:p>
            <w:r/>
            <w:r>
              <w:rPr>
                <w:rFonts w:ascii="Arial" w:hAnsi="Arial"/>
                <w:b w:val="0"/>
                <w:sz w:val="13"/>
              </w:rPr>
              <w:t>Tek ondalık basamak kuralı tercih edilebilir; bilimsel çelişki yok.</w:t>
            </w:r>
          </w:p>
        </w:tc>
      </w:tr>
      <w:tr>
        <w:tc>
          <w:tcPr>
            <w:tcW w:type="dxa" w:w="2394"/>
            <w:vAlign w:val="center"/>
          </w:tcPr>
          <w:p>
            <w:r/>
            <w:r>
              <w:rPr>
                <w:rFonts w:ascii="Arial" w:hAnsi="Arial"/>
                <w:b w:val="0"/>
                <w:sz w:val="13"/>
              </w:rPr>
              <w:t>13</w:t>
            </w:r>
          </w:p>
        </w:tc>
        <w:tc>
          <w:tcPr>
            <w:tcW w:type="dxa" w:w="2394"/>
            <w:vAlign w:val="center"/>
            <w:shd w:fill="FFF2CC"/>
          </w:tcPr>
          <w:p>
            <w:r/>
            <w:r>
              <w:rPr>
                <w:rFonts w:ascii="Arial" w:hAnsi="Arial"/>
                <w:b w:val="0"/>
                <w:sz w:val="13"/>
              </w:rPr>
              <w:t>Kısmi</w:t>
            </w:r>
          </w:p>
        </w:tc>
        <w:tc>
          <w:tcPr>
            <w:tcW w:type="dxa" w:w="2394"/>
            <w:vAlign w:val="center"/>
          </w:tcPr>
          <w:p>
            <w:r/>
            <w:r>
              <w:rPr>
                <w:rFonts w:ascii="Arial" w:hAnsi="Arial"/>
                <w:b w:val="0"/>
                <w:sz w:val="13"/>
              </w:rPr>
              <w:t>Semantik eşitlik</w:t>
            </w:r>
          </w:p>
        </w:tc>
        <w:tc>
          <w:tcPr>
            <w:tcW w:type="dxa" w:w="2394"/>
            <w:vAlign w:val="center"/>
          </w:tcPr>
          <w:p>
            <w:r/>
            <w:r>
              <w:rPr>
                <w:rFonts w:ascii="Arial" w:hAnsi="Arial"/>
                <w:b w:val="0"/>
                <w:sz w:val="13"/>
              </w:rPr>
              <w:t>Bölüm ve Tablo 22 modeli eşzamanlı tarama/sınıflandırma modeli olarak sınırlar.</w:t>
            </w:r>
          </w:p>
        </w:tc>
        <w:tc>
          <w:tcPr>
            <w:tcW w:type="dxa" w:w="2394"/>
            <w:vAlign w:val="center"/>
          </w:tcPr>
          <w:p>
            <w:r/>
            <w:r>
              <w:rPr>
                <w:rFonts w:ascii="Arial" w:hAnsi="Arial"/>
                <w:b w:val="0"/>
                <w:sz w:val="13"/>
              </w:rPr>
              <w:t>Şekil 13 ve iç grafik “yüksek Beck riski/risk skoru” dilini kullanıyor.</w:t>
            </w:r>
          </w:p>
        </w:tc>
        <w:tc>
          <w:tcPr>
            <w:tcW w:type="dxa" w:w="2394"/>
            <w:vAlign w:val="center"/>
          </w:tcPr>
          <w:p>
            <w:r/>
            <w:r>
              <w:rPr>
                <w:rFonts w:ascii="Arial" w:hAnsi="Arial"/>
                <w:b w:val="0"/>
                <w:sz w:val="13"/>
              </w:rPr>
              <w:t>“Risk” yerine “yüksek Beck belirti düzeyi” ve “eşzamanlı sınıflandırma skoru” kullanılmalı.</w:t>
            </w:r>
          </w:p>
        </w:tc>
      </w:tr>
      <w:tr>
        <w:tc>
          <w:tcPr>
            <w:tcW w:type="dxa" w:w="2394"/>
            <w:vAlign w:val="center"/>
          </w:tcPr>
          <w:p>
            <w:r/>
            <w:r>
              <w:rPr>
                <w:rFonts w:ascii="Arial" w:hAnsi="Arial"/>
                <w:b w:val="0"/>
                <w:sz w:val="13"/>
              </w:rPr>
              <w:t>14</w:t>
            </w:r>
          </w:p>
        </w:tc>
        <w:tc>
          <w:tcPr>
            <w:tcW w:type="dxa" w:w="2394"/>
            <w:vAlign w:val="center"/>
            <w:shd w:fill="FFF2CC"/>
          </w:tcPr>
          <w:p>
            <w:r/>
            <w:r>
              <w:rPr>
                <w:rFonts w:ascii="Arial" w:hAnsi="Arial"/>
                <w:b w:val="0"/>
                <w:sz w:val="13"/>
              </w:rPr>
              <w:t>Kısmi</w:t>
            </w:r>
          </w:p>
        </w:tc>
        <w:tc>
          <w:tcPr>
            <w:tcW w:type="dxa" w:w="2394"/>
            <w:vAlign w:val="center"/>
          </w:tcPr>
          <w:p>
            <w:r/>
            <w:r>
              <w:rPr>
                <w:rFonts w:ascii="Arial" w:hAnsi="Arial"/>
                <w:b w:val="0"/>
                <w:sz w:val="13"/>
              </w:rPr>
              <w:t>Semantik eşitlik</w:t>
            </w:r>
          </w:p>
        </w:tc>
        <w:tc>
          <w:tcPr>
            <w:tcW w:type="dxa" w:w="2394"/>
            <w:vAlign w:val="center"/>
          </w:tcPr>
          <w:p>
            <w:r/>
            <w:r>
              <w:rPr>
                <w:rFonts w:ascii="Arial" w:hAnsi="Arial"/>
                <w:b w:val="0"/>
                <w:sz w:val="13"/>
              </w:rPr>
              <w:t>Karar eğrisi aynı zamanlı tarama kararını değerlendiriyor.</w:t>
            </w:r>
          </w:p>
        </w:tc>
        <w:tc>
          <w:tcPr>
            <w:tcW w:type="dxa" w:w="2394"/>
            <w:vAlign w:val="center"/>
          </w:tcPr>
          <w:p>
            <w:r/>
            <w:r>
              <w:rPr>
                <w:rFonts w:ascii="Arial" w:hAnsi="Arial"/>
                <w:b w:val="0"/>
                <w:sz w:val="13"/>
              </w:rPr>
              <w:t>Şekil 14 ve lejant “geniş risk skoru” diyor; eksen/başlıkta İngilizce artıklar var.</w:t>
            </w:r>
          </w:p>
        </w:tc>
        <w:tc>
          <w:tcPr>
            <w:tcW w:type="dxa" w:w="2394"/>
            <w:vAlign w:val="center"/>
          </w:tcPr>
          <w:p>
            <w:r/>
            <w:r>
              <w:rPr>
                <w:rFonts w:ascii="Arial" w:hAnsi="Arial"/>
                <w:b w:val="0"/>
                <w:sz w:val="13"/>
              </w:rPr>
              <w:t>Risk/yordama terminolojisi eşzamanlı sınıflandırma terminolojisine çevrilmeli.</w:t>
            </w:r>
          </w:p>
        </w:tc>
      </w:tr>
      <w:tr>
        <w:tc>
          <w:tcPr>
            <w:tcW w:type="dxa" w:w="2394"/>
            <w:vAlign w:val="center"/>
          </w:tcPr>
          <w:p>
            <w:r/>
            <w:r>
              <w:rPr>
                <w:rFonts w:ascii="Arial" w:hAnsi="Arial"/>
                <w:b w:val="0"/>
                <w:sz w:val="13"/>
              </w:rPr>
              <w:t>15</w:t>
            </w:r>
          </w:p>
        </w:tc>
        <w:tc>
          <w:tcPr>
            <w:tcW w:type="dxa" w:w="2394"/>
            <w:vAlign w:val="center"/>
            <w:shd w:fill="FCE5CD"/>
          </w:tcPr>
          <w:p>
            <w:r/>
            <w:r>
              <w:rPr>
                <w:rFonts w:ascii="Arial" w:hAnsi="Arial"/>
                <w:b w:val="0"/>
                <w:sz w:val="13"/>
              </w:rPr>
              <w:t>Majör</w:t>
            </w:r>
          </w:p>
        </w:tc>
        <w:tc>
          <w:tcPr>
            <w:tcW w:type="dxa" w:w="2394"/>
            <w:vAlign w:val="center"/>
          </w:tcPr>
          <w:p>
            <w:r/>
            <w:r>
              <w:rPr>
                <w:rFonts w:ascii="Arial" w:hAnsi="Arial"/>
                <w:b w:val="0"/>
                <w:sz w:val="13"/>
              </w:rPr>
              <w:t>Metin–tablo–şekil</w:t>
            </w:r>
          </w:p>
        </w:tc>
        <w:tc>
          <w:tcPr>
            <w:tcW w:type="dxa" w:w="2394"/>
            <w:vAlign w:val="center"/>
          </w:tcPr>
          <w:p>
            <w:r/>
            <w:r>
              <w:rPr>
                <w:rFonts w:ascii="Arial" w:hAnsi="Arial"/>
                <w:b w:val="0"/>
                <w:sz w:val="13"/>
              </w:rPr>
              <w:t>Metin ve Tablo 22 optimizm-düzeltilmiş eğim 0,77 ve sabit 0,01’i raporluyor.</w:t>
            </w:r>
          </w:p>
        </w:tc>
        <w:tc>
          <w:tcPr>
            <w:tcW w:type="dxa" w:w="2394"/>
            <w:vAlign w:val="center"/>
          </w:tcPr>
          <w:p>
            <w:r/>
            <w:r>
              <w:rPr>
                <w:rFonts w:ascii="Arial" w:hAnsi="Arial"/>
                <w:b w:val="0"/>
                <w:sz w:val="13"/>
              </w:rPr>
              <w:t>Şekil 15 görünür/apparent tahminlerden üretilmiş binned calibration grafiği; düzeltilmiş eğri veya 0,77/0,01 değerleri şekil üzerinde yok.</w:t>
            </w:r>
          </w:p>
        </w:tc>
        <w:tc>
          <w:tcPr>
            <w:tcW w:type="dxa" w:w="2394"/>
            <w:vAlign w:val="center"/>
          </w:tcPr>
          <w:p>
            <w:r/>
            <w:r>
              <w:rPr>
                <w:rFonts w:ascii="Arial" w:hAnsi="Arial"/>
                <w:b w:val="0"/>
                <w:sz w:val="13"/>
              </w:rPr>
              <w:t>Altyazı “görünür kalibrasyon grafiği” olarak düzeltilip düzeltilmiş ölçütler Tablo 22’ye yönlendirilmeli veya bootstrap-düzeltilmiş kalibrasyon ayrıca çizilmeli.</w:t>
            </w:r>
          </w:p>
        </w:tc>
      </w:tr>
      <w:tr>
        <w:tc>
          <w:tcPr>
            <w:tcW w:type="dxa" w:w="2394"/>
            <w:vAlign w:val="center"/>
          </w:tcPr>
          <w:p>
            <w:r/>
            <w:r>
              <w:rPr>
                <w:rFonts w:ascii="Arial" w:hAnsi="Arial"/>
                <w:b w:val="0"/>
                <w:sz w:val="13"/>
              </w:rPr>
              <w:t>16</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CART çapraz-doğrulanmış hata profili ile Random Forest önemlerinin birlikte gösterildiği belirtiliyor.</w:t>
            </w:r>
          </w:p>
        </w:tc>
        <w:tc>
          <w:tcPr>
            <w:tcW w:type="dxa" w:w="2394"/>
            <w:vAlign w:val="center"/>
          </w:tcPr>
          <w:p>
            <w:r/>
            <w:r>
              <w:rPr>
                <w:rFonts w:ascii="Arial" w:hAnsi="Arial"/>
                <w:b w:val="0"/>
                <w:sz w:val="13"/>
              </w:rPr>
              <w:t>Şekil iki panelde bu çıktıları gösteriyor.</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17</w:t>
            </w:r>
          </w:p>
        </w:tc>
        <w:tc>
          <w:tcPr>
            <w:tcW w:type="dxa" w:w="2394"/>
            <w:vAlign w:val="center"/>
            <w:shd w:fill="F4CCCC"/>
          </w:tcPr>
          <w:p>
            <w:r/>
            <w:r>
              <w:rPr>
                <w:rFonts w:ascii="Arial" w:hAnsi="Arial"/>
                <w:b w:val="0"/>
                <w:sz w:val="13"/>
              </w:rPr>
              <w:t>Kritik</w:t>
            </w:r>
          </w:p>
        </w:tc>
        <w:tc>
          <w:tcPr>
            <w:tcW w:type="dxa" w:w="2394"/>
            <w:vAlign w:val="center"/>
          </w:tcPr>
          <w:p>
            <w:r/>
            <w:r>
              <w:rPr>
                <w:rFonts w:ascii="Arial" w:hAnsi="Arial"/>
                <w:b w:val="0"/>
                <w:sz w:val="13"/>
              </w:rPr>
              <w:t>Altyazı–şekil</w:t>
            </w:r>
          </w:p>
        </w:tc>
        <w:tc>
          <w:tcPr>
            <w:tcW w:type="dxa" w:w="2394"/>
            <w:vAlign w:val="center"/>
          </w:tcPr>
          <w:p>
            <w:r/>
            <w:r>
              <w:rPr>
                <w:rFonts w:ascii="Arial" w:hAnsi="Arial"/>
                <w:b w:val="0"/>
                <w:sz w:val="13"/>
              </w:rPr>
              <w:t>Altyazı “trifaktör CFA uyum profili” diyor.</w:t>
            </w:r>
          </w:p>
        </w:tc>
        <w:tc>
          <w:tcPr>
            <w:tcW w:type="dxa" w:w="2394"/>
            <w:vAlign w:val="center"/>
          </w:tcPr>
          <w:p>
            <w:r/>
            <w:r>
              <w:rPr>
                <w:rFonts w:ascii="Arial" w:hAnsi="Arial"/>
                <w:b w:val="0"/>
                <w:sz w:val="13"/>
              </w:rPr>
              <w:t>Şekil, model uyum indekslerini değil madde bazında ortak trait/indeks yöntem/kardeş yöntem standartlaştırılmış yüklemelerini gösteriyor.</w:t>
            </w:r>
          </w:p>
        </w:tc>
        <w:tc>
          <w:tcPr>
            <w:tcW w:type="dxa" w:w="2394"/>
            <w:vAlign w:val="center"/>
          </w:tcPr>
          <w:p>
            <w:r/>
            <w:r>
              <w:rPr>
                <w:rFonts w:ascii="Arial" w:hAnsi="Arial"/>
                <w:b w:val="0"/>
                <w:sz w:val="13"/>
              </w:rPr>
              <w:t>Altyazı “trifaktör yükleme mimarisi” olarak değiştirilmeli; gerçekten uyum profili amaçlanıyorsa CFI/RMSEA/SRMR grafiği üretilmeli.</w:t>
            </w:r>
          </w:p>
        </w:tc>
      </w:tr>
      <w:tr>
        <w:tc>
          <w:tcPr>
            <w:tcW w:type="dxa" w:w="2394"/>
            <w:vAlign w:val="center"/>
          </w:tcPr>
          <w:p>
            <w:r/>
            <w:r>
              <w:rPr>
                <w:rFonts w:ascii="Arial" w:hAnsi="Arial"/>
                <w:b w:val="0"/>
                <w:sz w:val="13"/>
              </w:rPr>
              <w:t>18</w:t>
            </w:r>
          </w:p>
        </w:tc>
        <w:tc>
          <w:tcPr>
            <w:tcW w:type="dxa" w:w="2394"/>
            <w:vAlign w:val="center"/>
            <w:shd w:fill="F4CCCC"/>
          </w:tcPr>
          <w:p>
            <w:r/>
            <w:r>
              <w:rPr>
                <w:rFonts w:ascii="Arial" w:hAnsi="Arial"/>
                <w:b w:val="0"/>
                <w:sz w:val="13"/>
              </w:rPr>
              <w:t>Kritik</w:t>
            </w:r>
          </w:p>
        </w:tc>
        <w:tc>
          <w:tcPr>
            <w:tcW w:type="dxa" w:w="2394"/>
            <w:vAlign w:val="center"/>
          </w:tcPr>
          <w:p>
            <w:r/>
            <w:r>
              <w:rPr>
                <w:rFonts w:ascii="Arial" w:hAnsi="Arial"/>
                <w:b w:val="0"/>
                <w:sz w:val="13"/>
              </w:rPr>
              <w:t>Metin/altyazı–şekil</w:t>
            </w:r>
          </w:p>
        </w:tc>
        <w:tc>
          <w:tcPr>
            <w:tcW w:type="dxa" w:w="2394"/>
            <w:vAlign w:val="center"/>
          </w:tcPr>
          <w:p>
            <w:r/>
            <w:r>
              <w:rPr>
                <w:rFonts w:ascii="Arial" w:hAnsi="Arial"/>
                <w:b w:val="0"/>
                <w:sz w:val="13"/>
              </w:rPr>
              <w:t>Metin ve altyazı manifest ve latent etkilerin karşılaştırıldığını söylüyor.</w:t>
            </w:r>
          </w:p>
        </w:tc>
        <w:tc>
          <w:tcPr>
            <w:tcW w:type="dxa" w:w="2394"/>
            <w:vAlign w:val="center"/>
          </w:tcPr>
          <w:p>
            <w:r/>
            <w:r>
              <w:rPr>
                <w:rFonts w:ascii="Arial" w:hAnsi="Arial"/>
                <w:b w:val="0"/>
                <w:sz w:val="13"/>
              </w:rPr>
              <w:t>Şekil yalnız IRT latent theta farklarını gösteriyor; manifest etki yok.</w:t>
            </w:r>
          </w:p>
        </w:tc>
        <w:tc>
          <w:tcPr>
            <w:tcW w:type="dxa" w:w="2394"/>
            <w:vAlign w:val="center"/>
          </w:tcPr>
          <w:p>
            <w:r/>
            <w:r>
              <w:rPr>
                <w:rFonts w:ascii="Arial" w:hAnsi="Arial"/>
                <w:b w:val="0"/>
                <w:sz w:val="13"/>
              </w:rPr>
              <w:t>Manifest katsayıları ayrı seri olarak eklenmeli veya metin/altyazı “latent theta grup farkları” olarak düzeltilmeli.</w:t>
            </w:r>
          </w:p>
        </w:tc>
      </w:tr>
      <w:tr>
        <w:tc>
          <w:tcPr>
            <w:tcW w:type="dxa" w:w="2394"/>
            <w:vAlign w:val="center"/>
          </w:tcPr>
          <w:p>
            <w:r/>
            <w:r>
              <w:rPr>
                <w:rFonts w:ascii="Arial" w:hAnsi="Arial"/>
                <w:b w:val="0"/>
                <w:sz w:val="13"/>
              </w:rPr>
              <w:t>19</w:t>
            </w:r>
          </w:p>
        </w:tc>
        <w:tc>
          <w:tcPr>
            <w:tcW w:type="dxa" w:w="2394"/>
            <w:vAlign w:val="center"/>
            <w:shd w:fill="F4CCCC"/>
          </w:tcPr>
          <w:p>
            <w:r/>
            <w:r>
              <w:rPr>
                <w:rFonts w:ascii="Arial" w:hAnsi="Arial"/>
                <w:b w:val="0"/>
                <w:sz w:val="13"/>
              </w:rPr>
              <w:t>Kritik</w:t>
            </w:r>
          </w:p>
        </w:tc>
        <w:tc>
          <w:tcPr>
            <w:tcW w:type="dxa" w:w="2394"/>
            <w:vAlign w:val="center"/>
          </w:tcPr>
          <w:p>
            <w:r/>
            <w:r>
              <w:rPr>
                <w:rFonts w:ascii="Arial" w:hAnsi="Arial"/>
                <w:b w:val="0"/>
                <w:sz w:val="13"/>
              </w:rPr>
              <w:t>Metin/altyazı–şekil</w:t>
            </w:r>
          </w:p>
        </w:tc>
        <w:tc>
          <w:tcPr>
            <w:tcW w:type="dxa" w:w="2394"/>
            <w:vAlign w:val="center"/>
          </w:tcPr>
          <w:p>
            <w:r/>
            <w:r>
              <w:rPr>
                <w:rFonts w:ascii="Arial" w:hAnsi="Arial"/>
                <w:b w:val="0"/>
                <w:sz w:val="13"/>
              </w:rPr>
              <w:t>Metin ve altyazı H1 çocuk-reddetme etkisine özgü 120 spesifikasyon ve medyan β=0,13/%75 anlamlılık iddia ediyor.</w:t>
            </w:r>
          </w:p>
        </w:tc>
        <w:tc>
          <w:tcPr>
            <w:tcW w:type="dxa" w:w="2394"/>
            <w:vAlign w:val="center"/>
          </w:tcPr>
          <w:p>
            <w:r/>
            <w:r>
              <w:rPr>
                <w:rFonts w:ascii="Arial" w:hAnsi="Arial"/>
                <w:b w:val="0"/>
                <w:sz w:val="13"/>
              </w:rPr>
              <w:t>Şekilde dört alt ölçek ayrı renklerle birlikte yer alıyor; 120 spesifikasyon reddetmeye özgü değil.</w:t>
            </w:r>
          </w:p>
        </w:tc>
        <w:tc>
          <w:tcPr>
            <w:tcW w:type="dxa" w:w="2394"/>
            <w:vAlign w:val="center"/>
          </w:tcPr>
          <w:p>
            <w:r/>
            <w:r>
              <w:rPr>
                <w:rFonts w:ascii="Arial" w:hAnsi="Arial"/>
                <w:b w:val="0"/>
                <w:sz w:val="13"/>
              </w:rPr>
              <w:t>Reddetme için filtrelenmiş spesifikasyon eğrisi üretilmeli veya başlık, medyan ve anlamlılık oranı dört alt ölçeğin birleşik spesifikasyon evreni olarak yeniden tanımlanmalı.</w:t>
            </w:r>
          </w:p>
        </w:tc>
      </w:tr>
      <w:tr>
        <w:tc>
          <w:tcPr>
            <w:tcW w:type="dxa" w:w="2394"/>
            <w:vAlign w:val="center"/>
          </w:tcPr>
          <w:p>
            <w:r/>
            <w:r>
              <w:rPr>
                <w:rFonts w:ascii="Arial" w:hAnsi="Arial"/>
                <w:b w:val="0"/>
                <w:sz w:val="13"/>
              </w:rPr>
              <w:t>20</w:t>
            </w:r>
          </w:p>
        </w:tc>
        <w:tc>
          <w:tcPr>
            <w:tcW w:type="dxa" w:w="2394"/>
            <w:vAlign w:val="center"/>
            <w:shd w:fill="F4CCCC"/>
          </w:tcPr>
          <w:p>
            <w:r/>
            <w:r>
              <w:rPr>
                <w:rFonts w:ascii="Arial" w:hAnsi="Arial"/>
                <w:b w:val="0"/>
                <w:sz w:val="13"/>
              </w:rPr>
              <w:t>Kritik</w:t>
            </w:r>
          </w:p>
        </w:tc>
        <w:tc>
          <w:tcPr>
            <w:tcW w:type="dxa" w:w="2394"/>
            <w:vAlign w:val="center"/>
          </w:tcPr>
          <w:p>
            <w:r/>
            <w:r>
              <w:rPr>
                <w:rFonts w:ascii="Arial" w:hAnsi="Arial"/>
                <w:b w:val="0"/>
                <w:sz w:val="13"/>
              </w:rPr>
              <w:t>Estimand eşitliği</w:t>
            </w:r>
          </w:p>
        </w:tc>
        <w:tc>
          <w:tcPr>
            <w:tcW w:type="dxa" w:w="2394"/>
            <w:vAlign w:val="center"/>
          </w:tcPr>
          <w:p>
            <w:r/>
            <w:r>
              <w:rPr>
                <w:rFonts w:ascii="Arial" w:hAnsi="Arial"/>
                <w:b w:val="0"/>
                <w:sz w:val="13"/>
              </w:rPr>
              <w:t>Metin/altyazı “alt ölçek etkilerinin meta-analitik havuzlaması” ve ortak 0,14 kestirimi sunuyor.</w:t>
            </w:r>
          </w:p>
        </w:tc>
        <w:tc>
          <w:tcPr>
            <w:tcW w:type="dxa" w:w="2394"/>
            <w:vAlign w:val="center"/>
          </w:tcPr>
          <w:p>
            <w:r/>
            <w:r>
              <w:rPr>
                <w:rFonts w:ascii="Arial" w:hAnsi="Arial"/>
                <w:b w:val="0"/>
                <w:sz w:val="13"/>
              </w:rPr>
              <w:t>Şekil; bu çalışmanın farklı alt ölçekleriyle ebeveynlik, kardeş, ebeveyn stresi ve maternal depresyon gibi farklı yapıları ölçen dış çalışmaların etkilerini tek REML havuzunda birleştiriyor.</w:t>
            </w:r>
          </w:p>
        </w:tc>
        <w:tc>
          <w:tcPr>
            <w:tcW w:type="dxa" w:w="2394"/>
            <w:vAlign w:val="center"/>
          </w:tcPr>
          <w:p>
            <w:r/>
            <w:r>
              <w:rPr>
                <w:rFonts w:ascii="Arial" w:hAnsi="Arial"/>
                <w:b w:val="0"/>
                <w:sz w:val="13"/>
              </w:rPr>
              <w:t>Ortak estimand ve dönüşüm gerekçesi açıkça kurulmalı; kurulamazsa pooled diamond kaldırılıp dış çalışmalar karşılaştırmalı referans paneli olarak sunulmalı veya yapı-homojen ayrı meta-analizler yapılmalı.</w:t>
            </w:r>
          </w:p>
        </w:tc>
      </w:tr>
      <w:tr>
        <w:tc>
          <w:tcPr>
            <w:tcW w:type="dxa" w:w="2394"/>
            <w:vAlign w:val="center"/>
          </w:tcPr>
          <w:p>
            <w:r/>
            <w:r>
              <w:rPr>
                <w:rFonts w:ascii="Arial" w:hAnsi="Arial"/>
                <w:b w:val="0"/>
                <w:sz w:val="13"/>
              </w:rPr>
              <w:t>21</w:t>
            </w:r>
          </w:p>
        </w:tc>
        <w:tc>
          <w:tcPr>
            <w:tcW w:type="dxa" w:w="2394"/>
            <w:vAlign w:val="center"/>
            <w:shd w:fill="FCE5CD"/>
          </w:tcPr>
          <w:p>
            <w:r/>
            <w:r>
              <w:rPr>
                <w:rFonts w:ascii="Arial" w:hAnsi="Arial"/>
                <w:b w:val="0"/>
                <w:sz w:val="13"/>
              </w:rPr>
              <w:t>Majör</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Metin eşik 0,05’te standardize net faydayı 0,86 olarak bildiriyor.</w:t>
            </w:r>
          </w:p>
        </w:tc>
        <w:tc>
          <w:tcPr>
            <w:tcW w:type="dxa" w:w="2394"/>
            <w:vAlign w:val="center"/>
          </w:tcPr>
          <w:p>
            <w:r/>
            <w:r>
              <w:rPr>
                <w:rFonts w:ascii="Arial" w:hAnsi="Arial"/>
                <w:b w:val="0"/>
                <w:sz w:val="13"/>
              </w:rPr>
              <w:t>Isı haritası aynı hücrede ham net fayda 0,23 gösteriyor ve ölçek “Net benefit” olarak etiketleniyor; standardizasyon dönüşümü açıklanmıyor.</w:t>
            </w:r>
          </w:p>
        </w:tc>
        <w:tc>
          <w:tcPr>
            <w:tcW w:type="dxa" w:w="2394"/>
            <w:vAlign w:val="center"/>
          </w:tcPr>
          <w:p>
            <w:r/>
            <w:r>
              <w:rPr>
                <w:rFonts w:ascii="Arial" w:hAnsi="Arial"/>
                <w:b w:val="0"/>
                <w:sz w:val="13"/>
              </w:rPr>
              <w:t>Ham ve standardize net fayda ayrılmalı; sNB=NB/prevalans gibi kullanılan formül ve payda şekil notunda belirtilmeli ya da aynı ölçek raporlanmalı.</w:t>
            </w:r>
          </w:p>
        </w:tc>
      </w:tr>
      <w:tr>
        <w:tc>
          <w:tcPr>
            <w:tcW w:type="dxa" w:w="2394"/>
            <w:vAlign w:val="center"/>
          </w:tcPr>
          <w:p>
            <w:r/>
            <w:r>
              <w:rPr>
                <w:rFonts w:ascii="Arial" w:hAnsi="Arial"/>
                <w:b w:val="0"/>
                <w:sz w:val="13"/>
              </w:rPr>
              <w:t>22</w:t>
            </w:r>
          </w:p>
        </w:tc>
        <w:tc>
          <w:tcPr>
            <w:tcW w:type="dxa" w:w="2394"/>
            <w:vAlign w:val="center"/>
            <w:shd w:fill="F4CCCC"/>
          </w:tcPr>
          <w:p>
            <w:r/>
            <w:r>
              <w:rPr>
                <w:rFonts w:ascii="Arial" w:hAnsi="Arial"/>
                <w:b w:val="0"/>
                <w:sz w:val="13"/>
              </w:rPr>
              <w:t>Kritik</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Metin düzeltilmemiş düzeyde “baba-kayırma” yönünde d=−0,27 bulgusunun Şekil 22’de gösterildiğini söylüyor.</w:t>
            </w:r>
          </w:p>
        </w:tc>
        <w:tc>
          <w:tcPr>
            <w:tcW w:type="dxa" w:w="2394"/>
            <w:vAlign w:val="center"/>
          </w:tcPr>
          <w:p>
            <w:r/>
            <w:r>
              <w:rPr>
                <w:rFonts w:ascii="Arial" w:hAnsi="Arial"/>
                <w:b w:val="0"/>
                <w:sz w:val="13"/>
              </w:rPr>
              <w:t>Şekil 22 sıcaklık −0,08, aşırı koruma +0,15, reddetme +0,03, karşılaştırma +0,01 gösteriyor; −0,27 yok.</w:t>
            </w:r>
          </w:p>
        </w:tc>
        <w:tc>
          <w:tcPr>
            <w:tcW w:type="dxa" w:w="2394"/>
            <w:vAlign w:val="center"/>
          </w:tcPr>
          <w:p>
            <w:r/>
            <w:r>
              <w:rPr>
                <w:rFonts w:ascii="Arial" w:hAnsi="Arial"/>
                <w:b w:val="0"/>
                <w:sz w:val="13"/>
              </w:rPr>
              <w:t>Anlatının hangi PDT kontrastına ait olduğu belirlenmeli; şekil o kontrastı eklemeli veya anlatı mevcut dört etkiye göre düzeltilmeli.</w:t>
            </w:r>
          </w:p>
        </w:tc>
      </w:tr>
      <w:tr>
        <w:tc>
          <w:tcPr>
            <w:tcW w:type="dxa" w:w="2394"/>
            <w:vAlign w:val="center"/>
          </w:tcPr>
          <w:p>
            <w:r/>
            <w:r>
              <w:rPr>
                <w:rFonts w:ascii="Arial" w:hAnsi="Arial"/>
                <w:b w:val="0"/>
                <w:sz w:val="13"/>
              </w:rPr>
              <w:t>23</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Anne komorbiditesi için Beck d=0,29 ve diğer ebeveynlik etkileri gösteriliyor.</w:t>
            </w:r>
          </w:p>
        </w:tc>
        <w:tc>
          <w:tcPr>
            <w:tcW w:type="dxa" w:w="2394"/>
            <w:vAlign w:val="center"/>
          </w:tcPr>
          <w:p>
            <w:r/>
            <w:r>
              <w:rPr>
                <w:rFonts w:ascii="Arial" w:hAnsi="Arial"/>
                <w:b w:val="0"/>
                <w:sz w:val="13"/>
              </w:rPr>
              <w:t>Şekil aynı yön ve yaklaşık değerleri içeriyor.</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24</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Metin–şekil</w:t>
            </w:r>
          </w:p>
        </w:tc>
        <w:tc>
          <w:tcPr>
            <w:tcW w:type="dxa" w:w="2394"/>
            <w:vAlign w:val="center"/>
          </w:tcPr>
          <w:p>
            <w:r/>
            <w:r>
              <w:rPr>
                <w:rFonts w:ascii="Arial" w:hAnsi="Arial"/>
                <w:b w:val="0"/>
                <w:sz w:val="13"/>
              </w:rPr>
              <w:t>İkincil katmandaki kardeş uyumu, diferansiyel ebeveynlik ve anne sağlık yükü birlikte özetleniyor.</w:t>
            </w:r>
          </w:p>
        </w:tc>
        <w:tc>
          <w:tcPr>
            <w:tcW w:type="dxa" w:w="2394"/>
            <w:vAlign w:val="center"/>
          </w:tcPr>
          <w:p>
            <w:r/>
            <w:r>
              <w:rPr>
                <w:rFonts w:ascii="Arial" w:hAnsi="Arial"/>
                <w:b w:val="0"/>
                <w:sz w:val="13"/>
              </w:rPr>
              <w:t>Şekil seçilen göstergeleri aynı yön ve değerlerle bütünlüyor.</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25</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Metin–tablo–şekil</w:t>
            </w:r>
          </w:p>
        </w:tc>
        <w:tc>
          <w:tcPr>
            <w:tcW w:type="dxa" w:w="2394"/>
            <w:vAlign w:val="center"/>
          </w:tcPr>
          <w:p>
            <w:r/>
            <w:r>
              <w:rPr>
                <w:rFonts w:ascii="Arial" w:hAnsi="Arial"/>
                <w:b w:val="0"/>
                <w:sz w:val="13"/>
              </w:rPr>
              <w:t>Tablo 24 medyan Cohen d ve %p&lt;0,05 sonuçlarını verir.</w:t>
            </w:r>
          </w:p>
        </w:tc>
        <w:tc>
          <w:tcPr>
            <w:tcW w:type="dxa" w:w="2394"/>
            <w:vAlign w:val="center"/>
          </w:tcPr>
          <w:p>
            <w:r/>
            <w:r>
              <w:rPr>
                <w:rFonts w:ascii="Arial" w:hAnsi="Arial"/>
                <w:b w:val="0"/>
                <w:sz w:val="13"/>
              </w:rPr>
              <w:t>Şekil 25 dört EMBU-P panelinde aynı sıralama/yön örüntüsünü gösteriyor.</w:t>
            </w:r>
          </w:p>
        </w:tc>
        <w:tc>
          <w:tcPr>
            <w:tcW w:type="dxa" w:w="2394"/>
            <w:vAlign w:val="center"/>
          </w:tcPr>
          <w:p>
            <w:r/>
            <w:r>
              <w:rPr>
                <w:rFonts w:ascii="Arial" w:hAnsi="Arial"/>
                <w:b w:val="0"/>
                <w:sz w:val="13"/>
              </w:rPr>
              <w:t>Değişiklik gerekmiyor.</w:t>
            </w:r>
          </w:p>
        </w:tc>
      </w:tr>
      <w:tr>
        <w:tc>
          <w:tcPr>
            <w:tcW w:type="dxa" w:w="2394"/>
            <w:vAlign w:val="center"/>
          </w:tcPr>
          <w:p>
            <w:r/>
            <w:r>
              <w:rPr>
                <w:rFonts w:ascii="Arial" w:hAnsi="Arial"/>
                <w:b w:val="0"/>
                <w:sz w:val="13"/>
              </w:rPr>
              <w:t>26</w:t>
            </w:r>
          </w:p>
        </w:tc>
        <w:tc>
          <w:tcPr>
            <w:tcW w:type="dxa" w:w="2394"/>
            <w:vAlign w:val="center"/>
            <w:shd w:fill="D9EAD3"/>
          </w:tcPr>
          <w:p>
            <w:r/>
            <w:r>
              <w:rPr>
                <w:rFonts w:ascii="Arial" w:hAnsi="Arial"/>
                <w:b w:val="0"/>
                <w:sz w:val="13"/>
              </w:rPr>
              <w:t>Uyumlu</w:t>
            </w:r>
          </w:p>
        </w:tc>
        <w:tc>
          <w:tcPr>
            <w:tcW w:type="dxa" w:w="2394"/>
            <w:vAlign w:val="center"/>
          </w:tcPr>
          <w:p>
            <w:r/>
            <w:r>
              <w:rPr>
                <w:rFonts w:ascii="Arial" w:hAnsi="Arial"/>
                <w:b w:val="0"/>
                <w:sz w:val="13"/>
              </w:rPr>
              <w:t>Metin–tablo–şekil</w:t>
            </w:r>
          </w:p>
        </w:tc>
        <w:tc>
          <w:tcPr>
            <w:tcW w:type="dxa" w:w="2394"/>
            <w:vAlign w:val="center"/>
          </w:tcPr>
          <w:p>
            <w:r/>
            <w:r>
              <w:rPr>
                <w:rFonts w:ascii="Arial" w:hAnsi="Arial"/>
                <w:b w:val="0"/>
                <w:sz w:val="13"/>
              </w:rPr>
              <w:t>Tablo 25 RVq değerlerini 0,042–0,080 aralığında verir; metin aynı aralığı özetler.</w:t>
            </w:r>
          </w:p>
        </w:tc>
        <w:tc>
          <w:tcPr>
            <w:tcW w:type="dxa" w:w="2394"/>
            <w:vAlign w:val="center"/>
          </w:tcPr>
          <w:p>
            <w:r/>
            <w:r>
              <w:rPr>
                <w:rFonts w:ascii="Arial" w:hAnsi="Arial"/>
                <w:b w:val="0"/>
                <w:sz w:val="13"/>
              </w:rPr>
              <w:t>Şekil noktaları bu sıralama ve yaklaşık büyüklüklerle uyumlu.</w:t>
            </w:r>
          </w:p>
        </w:tc>
        <w:tc>
          <w:tcPr>
            <w:tcW w:type="dxa" w:w="2394"/>
            <w:vAlign w:val="center"/>
          </w:tcPr>
          <w:p>
            <w:r/>
            <w:r>
              <w:rPr>
                <w:rFonts w:ascii="Arial" w:hAnsi="Arial"/>
                <w:b w:val="0"/>
                <w:sz w:val="13"/>
              </w:rPr>
              <w:t>Değişiklik gerekmiyor.</w:t>
            </w:r>
          </w:p>
        </w:tc>
      </w:tr>
    </w:tbl>
    <w:p>
      <w:r>
        <w:br w:type="page"/>
      </w:r>
    </w:p>
    <w:p>
      <w:pPr>
        <w:pStyle w:val="Heading1"/>
      </w:pPr>
      <w:r>
        <w:t>5. Tabloların tam eşitlik matrisi</w:t>
      </w:r>
    </w:p>
    <w:tbl>
      <w:tblPr>
        <w:tblStyle w:val="TableGrid"/>
        <w:tblW w:type="auto" w:w="0"/>
        <w:jc w:val="center"/>
        <w:tblLook w:firstColumn="1" w:firstRow="1" w:lastColumn="0" w:lastRow="0" w:noHBand="0" w:noVBand="1" w:val="04A0"/>
      </w:tblPr>
      <w:tblGrid>
        <w:gridCol w:w="2873"/>
        <w:gridCol w:w="2873"/>
        <w:gridCol w:w="2873"/>
        <w:gridCol w:w="2873"/>
        <w:gridCol w:w="2873"/>
      </w:tblGrid>
      <w:tr>
        <w:trPr>
          <w:tblHeader w:val="true"/>
        </w:trPr>
        <w:tc>
          <w:tcPr>
            <w:tcW w:type="dxa" w:w="2873"/>
            <w:vAlign w:val="center"/>
            <w:shd w:fill="D9EAF7"/>
          </w:tcPr>
          <w:p>
            <w:r/>
            <w:r>
              <w:rPr>
                <w:rFonts w:ascii="Arial" w:hAnsi="Arial"/>
                <w:b/>
                <w:sz w:val="14"/>
              </w:rPr>
              <w:t>No</w:t>
            </w:r>
          </w:p>
        </w:tc>
        <w:tc>
          <w:tcPr>
            <w:tcW w:type="dxa" w:w="2873"/>
            <w:vAlign w:val="center"/>
            <w:shd w:fill="D9EAF7"/>
          </w:tcPr>
          <w:p>
            <w:r/>
            <w:r>
              <w:rPr>
                <w:rFonts w:ascii="Arial" w:hAnsi="Arial"/>
                <w:b/>
                <w:sz w:val="14"/>
              </w:rPr>
              <w:t>Durum</w:t>
            </w:r>
          </w:p>
        </w:tc>
        <w:tc>
          <w:tcPr>
            <w:tcW w:type="dxa" w:w="2873"/>
            <w:vAlign w:val="center"/>
            <w:shd w:fill="D9EAF7"/>
          </w:tcPr>
          <w:p>
            <w:r/>
            <w:r>
              <w:rPr>
                <w:rFonts w:ascii="Arial" w:hAnsi="Arial"/>
                <w:b/>
                <w:sz w:val="14"/>
              </w:rPr>
              <w:t>Boyut</w:t>
            </w:r>
          </w:p>
        </w:tc>
        <w:tc>
          <w:tcPr>
            <w:tcW w:type="dxa" w:w="2873"/>
            <w:vAlign w:val="center"/>
            <w:shd w:fill="D9EAF7"/>
          </w:tcPr>
          <w:p>
            <w:r/>
            <w:r>
              <w:rPr>
                <w:rFonts w:ascii="Arial" w:hAnsi="Arial"/>
                <w:b/>
                <w:sz w:val="14"/>
              </w:rPr>
              <w:t>Denetim sonucu</w:t>
            </w:r>
          </w:p>
        </w:tc>
        <w:tc>
          <w:tcPr>
            <w:tcW w:type="dxa" w:w="2873"/>
            <w:vAlign w:val="center"/>
            <w:shd w:fill="D9EAF7"/>
          </w:tcPr>
          <w:p>
            <w:r/>
            <w:r>
              <w:rPr>
                <w:rFonts w:ascii="Arial" w:hAnsi="Arial"/>
                <w:b/>
                <w:sz w:val="14"/>
              </w:rPr>
              <w:t>İşlem</w:t>
            </w:r>
          </w:p>
        </w:tc>
      </w:tr>
      <w:tr>
        <w:tc>
          <w:tcPr>
            <w:tcW w:type="dxa" w:w="2873"/>
            <w:vAlign w:val="center"/>
          </w:tcPr>
          <w:p>
            <w:r/>
            <w:r>
              <w:rPr>
                <w:rFonts w:ascii="Arial" w:hAnsi="Arial"/>
                <w:b w:val="0"/>
                <w:sz w:val="14"/>
              </w:rPr>
              <w:t>1</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T1DM evrelerinin metindeki tanımıyla tablo satırları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2</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Kuramsal tarihçe ile tablo kapsamı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3</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EMBU geliştirme/uyarlama tarihçesiyle tablo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4</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Araştırma soruları ve hipotez yönleriyle tablo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5</w:t>
            </w:r>
          </w:p>
        </w:tc>
        <w:tc>
          <w:tcPr>
            <w:tcW w:type="dxa" w:w="2873"/>
            <w:vAlign w:val="center"/>
            <w:shd w:fill="FFF2CC"/>
          </w:tcPr>
          <w:p>
            <w:r/>
            <w:r>
              <w:rPr>
                <w:rFonts w:ascii="Arial" w:hAnsi="Arial"/>
                <w:b w:val="0"/>
                <w:sz w:val="14"/>
              </w:rPr>
              <w:t>Kısmi</w:t>
            </w:r>
          </w:p>
        </w:tc>
        <w:tc>
          <w:tcPr>
            <w:tcW w:type="dxa" w:w="2873"/>
            <w:vAlign w:val="center"/>
          </w:tcPr>
          <w:p>
            <w:r/>
            <w:r>
              <w:rPr>
                <w:rFonts w:ascii="Arial" w:hAnsi="Arial"/>
                <w:b w:val="0"/>
                <w:sz w:val="14"/>
              </w:rPr>
              <w:t>Yöntem–tablo</w:t>
            </w:r>
          </w:p>
        </w:tc>
        <w:tc>
          <w:tcPr>
            <w:tcW w:type="dxa" w:w="2873"/>
            <w:vAlign w:val="center"/>
          </w:tcPr>
          <w:p>
            <w:r/>
            <w:r>
              <w:rPr>
                <w:rFonts w:ascii="Arial" w:hAnsi="Arial"/>
                <w:b w:val="0"/>
                <w:sz w:val="14"/>
              </w:rPr>
              <w:t>H5’in beşinci stratejisi tabloda “APIM” diye adlandırılmış; bulguda raporlanan ölçüt Kenny k-katsayısıdır.</w:t>
            </w:r>
          </w:p>
        </w:tc>
        <w:tc>
          <w:tcPr>
            <w:tcW w:type="dxa" w:w="2873"/>
            <w:vAlign w:val="center"/>
          </w:tcPr>
          <w:p>
            <w:r/>
            <w:r>
              <w:rPr>
                <w:rFonts w:ascii="Arial" w:hAnsi="Arial"/>
                <w:b w:val="0"/>
                <w:sz w:val="14"/>
              </w:rPr>
              <w:t>“Kenny k (APIM türevi aktör/partner oranı)” olarak adlandırılmalı.</w:t>
            </w:r>
          </w:p>
        </w:tc>
      </w:tr>
      <w:tr>
        <w:tc>
          <w:tcPr>
            <w:tcW w:type="dxa" w:w="2873"/>
            <w:vAlign w:val="center"/>
          </w:tcPr>
          <w:p>
            <w:r/>
            <w:r>
              <w:rPr>
                <w:rFonts w:ascii="Arial" w:hAnsi="Arial"/>
                <w:b w:val="0"/>
                <w:sz w:val="14"/>
              </w:rPr>
              <w:t>6</w:t>
            </w:r>
          </w:p>
        </w:tc>
        <w:tc>
          <w:tcPr>
            <w:tcW w:type="dxa" w:w="2873"/>
            <w:vAlign w:val="center"/>
            <w:shd w:fill="FCE5CD"/>
          </w:tcPr>
          <w:p>
            <w:r/>
            <w:r>
              <w:rPr>
                <w:rFonts w:ascii="Arial" w:hAnsi="Arial"/>
                <w:b w:val="0"/>
                <w:sz w:val="14"/>
              </w:rPr>
              <w:t>Majör</w:t>
            </w:r>
          </w:p>
        </w:tc>
        <w:tc>
          <w:tcPr>
            <w:tcW w:type="dxa" w:w="2873"/>
            <w:vAlign w:val="center"/>
          </w:tcPr>
          <w:p>
            <w:r/>
            <w:r>
              <w:rPr>
                <w:rFonts w:ascii="Arial" w:hAnsi="Arial"/>
                <w:b w:val="0"/>
                <w:sz w:val="14"/>
              </w:rPr>
              <w:t>Kural–metin–tablo</w:t>
            </w:r>
          </w:p>
        </w:tc>
        <w:tc>
          <w:tcPr>
            <w:tcW w:type="dxa" w:w="2873"/>
            <w:vAlign w:val="center"/>
          </w:tcPr>
          <w:p>
            <w:r/>
            <w:r>
              <w:rPr>
                <w:rFonts w:ascii="Arial" w:hAnsi="Arial"/>
                <w:b w:val="0"/>
                <w:sz w:val="14"/>
              </w:rPr>
              <w:t>Metin SMD 0,10–0,25’i “sınırda”, 0,25–0,50’yi “dengesiz” tanımlar; buna rağmen anne yaşı 0,21, ISEI 0,23 ve yaş farkı 0,22 tablo/metinde “dengesiz” olarak etiketleniyor.</w:t>
            </w:r>
          </w:p>
        </w:tc>
        <w:tc>
          <w:tcPr>
            <w:tcW w:type="dxa" w:w="2873"/>
            <w:vAlign w:val="center"/>
          </w:tcPr>
          <w:p>
            <w:r/>
            <w:r>
              <w:rPr>
                <w:rFonts w:ascii="Arial" w:hAnsi="Arial"/>
                <w:b w:val="0"/>
                <w:sz w:val="14"/>
              </w:rPr>
              <w:t>Denge sınıfları programatik olarak aynı eşik fonksiyonundan üretilmeli; 0,21–0,23 değerleri “sınırda” olmalı.</w:t>
            </w:r>
          </w:p>
        </w:tc>
      </w:tr>
      <w:tr>
        <w:tc>
          <w:tcPr>
            <w:tcW w:type="dxa" w:w="2873"/>
            <w:vAlign w:val="center"/>
          </w:tcPr>
          <w:p>
            <w:r/>
            <w:r>
              <w:rPr>
                <w:rFonts w:ascii="Arial" w:hAnsi="Arial"/>
                <w:b w:val="0"/>
                <w:sz w:val="14"/>
              </w:rPr>
              <w:t>7</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IPTW sonrası SMD değerleri ve “iyi denge” kararı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8</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Analitik ve yapısal eksiklik paydaları metinle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9</w:t>
            </w:r>
          </w:p>
        </w:tc>
        <w:tc>
          <w:tcPr>
            <w:tcW w:type="dxa" w:w="2873"/>
            <w:vAlign w:val="center"/>
            <w:shd w:fill="FFF2CC"/>
          </w:tcPr>
          <w:p>
            <w:r/>
            <w:r>
              <w:rPr>
                <w:rFonts w:ascii="Arial" w:hAnsi="Arial"/>
                <w:b w:val="0"/>
                <w:sz w:val="14"/>
              </w:rPr>
              <w:t>Kısmi</w:t>
            </w:r>
          </w:p>
        </w:tc>
        <w:tc>
          <w:tcPr>
            <w:tcW w:type="dxa" w:w="2873"/>
            <w:vAlign w:val="center"/>
          </w:tcPr>
          <w:p>
            <w:r/>
            <w:r>
              <w:rPr>
                <w:rFonts w:ascii="Arial" w:hAnsi="Arial"/>
                <w:b w:val="0"/>
                <w:sz w:val="14"/>
              </w:rPr>
              <w:t>Tablo–şekil</w:t>
            </w:r>
          </w:p>
        </w:tc>
        <w:tc>
          <w:tcPr>
            <w:tcW w:type="dxa" w:w="2873"/>
            <w:vAlign w:val="center"/>
          </w:tcPr>
          <w:p>
            <w:r/>
            <w:r>
              <w:rPr>
                <w:rFonts w:ascii="Arial" w:hAnsi="Arial"/>
                <w:b w:val="0"/>
                <w:sz w:val="14"/>
              </w:rPr>
              <w:t>Ortak destek aralığı tabloda [0,394;0,672], Şekil 3’te 0,395–0,671.</w:t>
            </w:r>
          </w:p>
        </w:tc>
        <w:tc>
          <w:tcPr>
            <w:tcW w:type="dxa" w:w="2873"/>
            <w:vAlign w:val="center"/>
          </w:tcPr>
          <w:p>
            <w:r/>
            <w:r>
              <w:rPr>
                <w:rFonts w:ascii="Arial" w:hAnsi="Arial"/>
                <w:b w:val="0"/>
                <w:sz w:val="14"/>
              </w:rPr>
              <w:t>Tek yuvarlama kaynağı kullanılmalı.</w:t>
            </w:r>
          </w:p>
        </w:tc>
      </w:tr>
      <w:tr>
        <w:tc>
          <w:tcPr>
            <w:tcW w:type="dxa" w:w="2873"/>
            <w:vAlign w:val="center"/>
          </w:tcPr>
          <w:p>
            <w:r/>
            <w:r>
              <w:rPr>
                <w:rFonts w:ascii="Arial" w:hAnsi="Arial"/>
                <w:b w:val="0"/>
                <w:sz w:val="14"/>
              </w:rPr>
              <w:t>10</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Metin–tablo/şekil</w:t>
            </w:r>
          </w:p>
        </w:tc>
        <w:tc>
          <w:tcPr>
            <w:tcW w:type="dxa" w:w="2873"/>
            <w:vAlign w:val="center"/>
          </w:tcPr>
          <w:p>
            <w:r/>
            <w:r>
              <w:rPr>
                <w:rFonts w:ascii="Arial" w:hAnsi="Arial"/>
                <w:b w:val="0"/>
                <w:sz w:val="14"/>
              </w:rPr>
              <w:t>SES bileşenlerinin n, eksik, ortalama ve SD değerleri metin/Şekil 4’ün genel kapsamıyla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11</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H1 sıkçı katsayıları ve rol kontrastları metinle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12</w:t>
            </w:r>
          </w:p>
        </w:tc>
        <w:tc>
          <w:tcPr>
            <w:tcW w:type="dxa" w:w="2873"/>
            <w:vAlign w:val="center"/>
            <w:shd w:fill="FCE5CD"/>
          </w:tcPr>
          <w:p>
            <w:r/>
            <w:r>
              <w:rPr>
                <w:rFonts w:ascii="Arial" w:hAnsi="Arial"/>
                <w:b w:val="0"/>
                <w:sz w:val="14"/>
              </w:rPr>
              <w:t>Majör</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Bayes anlatısı H1 reddetme için posterior “medyan” b=0,16 derken tablo “posterior ortalama” 0,158 raporlar.</w:t>
            </w:r>
          </w:p>
        </w:tc>
        <w:tc>
          <w:tcPr>
            <w:tcW w:type="dxa" w:w="2873"/>
            <w:vAlign w:val="center"/>
          </w:tcPr>
          <w:p>
            <w:r/>
            <w:r>
              <w:rPr>
                <w:rFonts w:ascii="Arial" w:hAnsi="Arial"/>
                <w:b w:val="0"/>
                <w:sz w:val="14"/>
              </w:rPr>
              <w:t>Gerçekte kullanılan özet istatistik seçilmeli; tüm metin ve tablolar “posterior ortalama” veya “posterior medyan” olarak tekleştirilmeli.</w:t>
            </w:r>
          </w:p>
        </w:tc>
      </w:tr>
      <w:tr>
        <w:tc>
          <w:tcPr>
            <w:tcW w:type="dxa" w:w="2873"/>
            <w:vAlign w:val="center"/>
          </w:tcPr>
          <w:p>
            <w:r/>
            <w:r>
              <w:rPr>
                <w:rFonts w:ascii="Arial" w:hAnsi="Arial"/>
                <w:b w:val="0"/>
                <w:sz w:val="14"/>
              </w:rPr>
              <w:t>13</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H2 aile-ortalama farkları, g ve FDR p değerleri metinle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14</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H2 APIM sabit etkileri metindeki genel p&gt;0,35 sonucuyla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15</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H3 standardize β değerleri ve IPTW sonuçları metinle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16</w:t>
            </w:r>
          </w:p>
        </w:tc>
        <w:tc>
          <w:tcPr>
            <w:tcW w:type="dxa" w:w="2873"/>
            <w:vAlign w:val="center"/>
            <w:shd w:fill="FCE5CD"/>
          </w:tcPr>
          <w:p>
            <w:r/>
            <w:r>
              <w:rPr>
                <w:rFonts w:ascii="Arial" w:hAnsi="Arial"/>
                <w:b w:val="0"/>
                <w:sz w:val="14"/>
              </w:rPr>
              <w:t>Majör</w:t>
            </w:r>
          </w:p>
        </w:tc>
        <w:tc>
          <w:tcPr>
            <w:tcW w:type="dxa" w:w="2873"/>
            <w:vAlign w:val="center"/>
          </w:tcPr>
          <w:p>
            <w:r/>
            <w:r>
              <w:rPr>
                <w:rFonts w:ascii="Arial" w:hAnsi="Arial"/>
                <w:b w:val="0"/>
                <w:sz w:val="14"/>
              </w:rPr>
              <w:t>Tablo içi</w:t>
            </w:r>
          </w:p>
        </w:tc>
        <w:tc>
          <w:tcPr>
            <w:tcW w:type="dxa" w:w="2873"/>
            <w:vAlign w:val="center"/>
          </w:tcPr>
          <w:p>
            <w:r/>
            <w:r>
              <w:rPr>
                <w:rFonts w:ascii="Arial" w:hAnsi="Arial"/>
                <w:b w:val="0"/>
                <w:sz w:val="14"/>
              </w:rPr>
              <w:t>TOST satırlarının “Aralık” hücresinde yalnız “d=” bulunuyor; eşdeğerlik sınırı/aralık değeri kayıp.</w:t>
            </w:r>
          </w:p>
        </w:tc>
        <w:tc>
          <w:tcPr>
            <w:tcW w:type="dxa" w:w="2873"/>
            <w:vAlign w:val="center"/>
          </w:tcPr>
          <w:p>
            <w:r/>
            <w:r>
              <w:rPr>
                <w:rFonts w:ascii="Arial" w:hAnsi="Arial"/>
                <w:b w:val="0"/>
                <w:sz w:val="14"/>
              </w:rPr>
              <w:t>Gerçek TOST alt–üst sınırları yazılmalı veya boş/bozuk “d=” sütunu kaldırılmalı.</w:t>
            </w:r>
          </w:p>
        </w:tc>
      </w:tr>
      <w:tr>
        <w:tc>
          <w:tcPr>
            <w:tcW w:type="dxa" w:w="2873"/>
            <w:vAlign w:val="center"/>
          </w:tcPr>
          <w:p>
            <w:r/>
            <w:r>
              <w:rPr>
                <w:rFonts w:ascii="Arial" w:hAnsi="Arial"/>
                <w:b w:val="0"/>
                <w:sz w:val="14"/>
              </w:rPr>
              <w:t>17</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H4 yol katsayıları ve uyum indeksleri metinle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18</w:t>
            </w:r>
          </w:p>
        </w:tc>
        <w:tc>
          <w:tcPr>
            <w:tcW w:type="dxa" w:w="2873"/>
            <w:vAlign w:val="center"/>
            <w:shd w:fill="FCE5CD"/>
          </w:tcPr>
          <w:p>
            <w:r/>
            <w:r>
              <w:rPr>
                <w:rFonts w:ascii="Arial" w:hAnsi="Arial"/>
                <w:b w:val="0"/>
                <w:sz w:val="14"/>
              </w:rPr>
              <w:t>Majör</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Metin H5’i beş stratejiyle özetler; Tablo 18 RSA (Strateji 2) ve ortak yazgı modeli (Strateji 3) sonuçlarını/başarısız yakınsamayı içermiyor.</w:t>
            </w:r>
          </w:p>
        </w:tc>
        <w:tc>
          <w:tcPr>
            <w:tcW w:type="dxa" w:w="2873"/>
            <w:vAlign w:val="center"/>
          </w:tcPr>
          <w:p>
            <w:r/>
            <w:r>
              <w:rPr>
                <w:rFonts w:ascii="Arial" w:hAnsi="Arial"/>
                <w:b w:val="0"/>
                <w:sz w:val="14"/>
              </w:rPr>
              <w:t>Tabloya RSA ve ortak yazgı satırları eklenmeli; tablo başlığı gerçekten “beş stratejinin özeti” olacak şekilde tamamlanmalı.</w:t>
            </w:r>
          </w:p>
        </w:tc>
      </w:tr>
      <w:tr>
        <w:tc>
          <w:tcPr>
            <w:tcW w:type="dxa" w:w="2873"/>
            <w:vAlign w:val="center"/>
          </w:tcPr>
          <w:p>
            <w:r/>
            <w:r>
              <w:rPr>
                <w:rFonts w:ascii="Arial" w:hAnsi="Arial"/>
                <w:b w:val="0"/>
                <w:sz w:val="14"/>
              </w:rPr>
              <w:t>19</w:t>
            </w:r>
          </w:p>
        </w:tc>
        <w:tc>
          <w:tcPr>
            <w:tcW w:type="dxa" w:w="2873"/>
            <w:vAlign w:val="center"/>
            <w:shd w:fill="F4CCCC"/>
          </w:tcPr>
          <w:p>
            <w:r/>
            <w:r>
              <w:rPr>
                <w:rFonts w:ascii="Arial" w:hAnsi="Arial"/>
                <w:b w:val="0"/>
                <w:sz w:val="14"/>
              </w:rPr>
              <w:t>Kritik</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Aracılık anlatısı a-yolu p=0,025, b-yolu p=0,140, dolaylı GA üstü 0,0019, a3 p=0,220 ve IMM p=0,370 verir; Tablo 19 sırasıyla 0,020, 0,161, 0,0020, 0,226 ve 0,373 verir.</w:t>
            </w:r>
          </w:p>
        </w:tc>
        <w:tc>
          <w:tcPr>
            <w:tcW w:type="dxa" w:w="2873"/>
            <w:vAlign w:val="center"/>
          </w:tcPr>
          <w:p>
            <w:r/>
            <w:r>
              <w:rPr>
                <w:rFonts w:ascii="Arial" w:hAnsi="Arial"/>
                <w:b w:val="0"/>
                <w:sz w:val="14"/>
              </w:rPr>
              <w:t>Metin ve tablo farklı çıktı sürümlerinden. Kanonik CSV’den ikisi birlikte yeniden üretilmeli; p ve GA değerleri literal olarak eşit olmalı.</w:t>
            </w:r>
          </w:p>
        </w:tc>
      </w:tr>
      <w:tr>
        <w:tc>
          <w:tcPr>
            <w:tcW w:type="dxa" w:w="2873"/>
            <w:vAlign w:val="center"/>
          </w:tcPr>
          <w:p>
            <w:r/>
            <w:r>
              <w:rPr>
                <w:rFonts w:ascii="Arial" w:hAnsi="Arial"/>
                <w:b w:val="0"/>
                <w:sz w:val="14"/>
              </w:rPr>
              <w:t>20</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LPA/LCA sayısal değerleri ve 3 profil parsimoni seçimi güncel anlatıyla uyumlu.</w:t>
            </w:r>
          </w:p>
        </w:tc>
        <w:tc>
          <w:tcPr>
            <w:tcW w:type="dxa" w:w="2873"/>
            <w:vAlign w:val="center"/>
          </w:tcPr>
          <w:p>
            <w:r/>
            <w:r>
              <w:rPr>
                <w:rFonts w:ascii="Arial" w:hAnsi="Arial"/>
                <w:b w:val="0"/>
                <w:sz w:val="14"/>
              </w:rPr>
              <w:t>Şekil 10 ayrıca düzeltilmelidir.</w:t>
            </w:r>
          </w:p>
        </w:tc>
      </w:tr>
      <w:tr>
        <w:tc>
          <w:tcPr>
            <w:tcW w:type="dxa" w:w="2873"/>
            <w:vAlign w:val="center"/>
          </w:tcPr>
          <w:p>
            <w:r/>
            <w:r>
              <w:rPr>
                <w:rFonts w:ascii="Arial" w:hAnsi="Arial"/>
                <w:b w:val="0"/>
                <w:sz w:val="14"/>
              </w:rPr>
              <w:t>21</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Tablo–şekil</w:t>
            </w:r>
          </w:p>
        </w:tc>
        <w:tc>
          <w:tcPr>
            <w:tcW w:type="dxa" w:w="2873"/>
            <w:vAlign w:val="center"/>
          </w:tcPr>
          <w:p>
            <w:r/>
            <w:r>
              <w:rPr>
                <w:rFonts w:ascii="Arial" w:hAnsi="Arial"/>
                <w:b w:val="0"/>
                <w:sz w:val="14"/>
              </w:rPr>
              <w:t>Tablo 21 strength/NCT değerleri Şekil 11–12 ile uyumlu.</w:t>
            </w:r>
          </w:p>
        </w:tc>
        <w:tc>
          <w:tcPr>
            <w:tcW w:type="dxa" w:w="2873"/>
            <w:vAlign w:val="center"/>
          </w:tcPr>
          <w:p>
            <w:r/>
            <w:r>
              <w:rPr>
                <w:rFonts w:ascii="Arial" w:hAnsi="Arial"/>
                <w:b w:val="0"/>
                <w:sz w:val="14"/>
              </w:rPr>
              <w:t>Çevre anlatısı düzeltilmelidir.</w:t>
            </w:r>
          </w:p>
        </w:tc>
      </w:tr>
      <w:tr>
        <w:tc>
          <w:tcPr>
            <w:tcW w:type="dxa" w:w="2873"/>
            <w:vAlign w:val="center"/>
          </w:tcPr>
          <w:p>
            <w:r/>
            <w:r>
              <w:rPr>
                <w:rFonts w:ascii="Arial" w:hAnsi="Arial"/>
                <w:b w:val="0"/>
                <w:sz w:val="14"/>
              </w:rPr>
              <w:t>22</w:t>
            </w:r>
          </w:p>
        </w:tc>
        <w:tc>
          <w:tcPr>
            <w:tcW w:type="dxa" w:w="2873"/>
            <w:vAlign w:val="center"/>
            <w:shd w:fill="FFF2CC"/>
          </w:tcPr>
          <w:p>
            <w:r/>
            <w:r>
              <w:rPr>
                <w:rFonts w:ascii="Arial" w:hAnsi="Arial"/>
                <w:b w:val="0"/>
                <w:sz w:val="14"/>
              </w:rPr>
              <w:t>Kısmi</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AUC ve nokta kalibrasyon değerleri uyumlu; metindeki düzeltilmiş kalibrasyon güven aralıkları tabloda yok.</w:t>
            </w:r>
          </w:p>
        </w:tc>
        <w:tc>
          <w:tcPr>
            <w:tcW w:type="dxa" w:w="2873"/>
            <w:vAlign w:val="center"/>
          </w:tcPr>
          <w:p>
            <w:r/>
            <w:r>
              <w:rPr>
                <w:rFonts w:ascii="Arial" w:hAnsi="Arial"/>
                <w:b w:val="0"/>
                <w:sz w:val="14"/>
              </w:rPr>
              <w:t>Tablo 22’ye düzeltilmiş eğim/sabit %95 GA eklenmeli; yeniden sınıflandırma etiketleri Türkçeleştirilmeli.</w:t>
            </w:r>
          </w:p>
        </w:tc>
      </w:tr>
      <w:tr>
        <w:tc>
          <w:tcPr>
            <w:tcW w:type="dxa" w:w="2873"/>
            <w:vAlign w:val="center"/>
          </w:tcPr>
          <w:p>
            <w:r/>
            <w:r>
              <w:rPr>
                <w:rFonts w:ascii="Arial" w:hAnsi="Arial"/>
                <w:b w:val="0"/>
                <w:sz w:val="14"/>
              </w:rPr>
              <w:t>23</w:t>
            </w:r>
          </w:p>
        </w:tc>
        <w:tc>
          <w:tcPr>
            <w:tcW w:type="dxa" w:w="2873"/>
            <w:vAlign w:val="center"/>
            <w:shd w:fill="FFF2CC"/>
          </w:tcPr>
          <w:p>
            <w:r/>
            <w:r>
              <w:rPr>
                <w:rFonts w:ascii="Arial" w:hAnsi="Arial"/>
                <w:b w:val="0"/>
                <w:sz w:val="14"/>
              </w:rPr>
              <w:t>Kısmi</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Metin tanı yaşı strata için en büyük F=2,05; p=0,130 derken Tablo 23 p=0,134 verir.</w:t>
            </w:r>
          </w:p>
        </w:tc>
        <w:tc>
          <w:tcPr>
            <w:tcW w:type="dxa" w:w="2873"/>
            <w:vAlign w:val="center"/>
          </w:tcPr>
          <w:p>
            <w:r/>
            <w:r>
              <w:rPr>
                <w:rFonts w:ascii="Arial" w:hAnsi="Arial"/>
                <w:b w:val="0"/>
                <w:sz w:val="14"/>
              </w:rPr>
              <w:t>Kanonik değerden aynı yuvarlama uygulanmalı.</w:t>
            </w:r>
          </w:p>
        </w:tc>
      </w:tr>
      <w:tr>
        <w:tc>
          <w:tcPr>
            <w:tcW w:type="dxa" w:w="2873"/>
            <w:vAlign w:val="center"/>
          </w:tcPr>
          <w:p>
            <w:r/>
            <w:r>
              <w:rPr>
                <w:rFonts w:ascii="Arial" w:hAnsi="Arial"/>
                <w:b w:val="0"/>
                <w:sz w:val="14"/>
              </w:rPr>
              <w:t>24</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Metin–tablo–şekil</w:t>
            </w:r>
          </w:p>
        </w:tc>
        <w:tc>
          <w:tcPr>
            <w:tcW w:type="dxa" w:w="2873"/>
            <w:vAlign w:val="center"/>
          </w:tcPr>
          <w:p>
            <w:r/>
            <w:r>
              <w:rPr>
                <w:rFonts w:ascii="Arial" w:hAnsi="Arial"/>
                <w:b w:val="0"/>
                <w:sz w:val="14"/>
              </w:rPr>
              <w:t>Multiverse medyanları ve TOST kararları Şekil 25/metinle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25</w:t>
            </w:r>
          </w:p>
        </w:tc>
        <w:tc>
          <w:tcPr>
            <w:tcW w:type="dxa" w:w="2873"/>
            <w:vAlign w:val="center"/>
            <w:shd w:fill="F4CCCC"/>
          </w:tcPr>
          <w:p>
            <w:r/>
            <w:r>
              <w:rPr>
                <w:rFonts w:ascii="Arial" w:hAnsi="Arial"/>
                <w:b w:val="0"/>
                <w:sz w:val="14"/>
              </w:rPr>
              <w:t>Kritik</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Metin iki falsifikasyon senaryosunun etkiyi zayıflattığını ve yönü değiştirmediğini söyler; tablo &gt;100% ve negatif attenuation değerleri (örn. 551,9%, −193,9%) verir. Bu değerler standart tanımda yalnız zayıflama anlamına gelmez.</w:t>
            </w:r>
          </w:p>
        </w:tc>
        <w:tc>
          <w:tcPr>
            <w:tcW w:type="dxa" w:w="2873"/>
            <w:vAlign w:val="center"/>
          </w:tcPr>
          <w:p>
            <w:r/>
            <w:r>
              <w:rPr>
                <w:rFonts w:ascii="Arial" w:hAnsi="Arial"/>
                <w:b w:val="0"/>
                <w:sz w:val="14"/>
              </w:rPr>
              <w:t>Attenuation formülü ve işaret yorumu açıkça yazılmalı; yön değişimi/etki artışı varsa metin düzeltilmeli veya metrik yeniden hesaplanmalı.</w:t>
            </w:r>
          </w:p>
        </w:tc>
      </w:tr>
      <w:tr>
        <w:tc>
          <w:tcPr>
            <w:tcW w:type="dxa" w:w="2873"/>
            <w:vAlign w:val="center"/>
          </w:tcPr>
          <w:p>
            <w:r/>
            <w:r>
              <w:rPr>
                <w:rFonts w:ascii="Arial" w:hAnsi="Arial"/>
                <w:b w:val="0"/>
                <w:sz w:val="14"/>
              </w:rPr>
              <w:t>26</w:t>
            </w:r>
          </w:p>
        </w:tc>
        <w:tc>
          <w:tcPr>
            <w:tcW w:type="dxa" w:w="2873"/>
            <w:vAlign w:val="center"/>
            <w:shd w:fill="FCE5CD"/>
          </w:tcPr>
          <w:p>
            <w:r/>
            <w:r>
              <w:rPr>
                <w:rFonts w:ascii="Arial" w:hAnsi="Arial"/>
                <w:b w:val="0"/>
                <w:sz w:val="14"/>
              </w:rPr>
              <w:t>Majör</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Bayes anlatısı posterior medyan, Tablo 26 “Ortalama” raporlar. ESS açıklaması doğru olsa da özet istatistik eşit değildir.</w:t>
            </w:r>
          </w:p>
        </w:tc>
        <w:tc>
          <w:tcPr>
            <w:tcW w:type="dxa" w:w="2873"/>
            <w:vAlign w:val="center"/>
          </w:tcPr>
          <w:p>
            <w:r/>
            <w:r>
              <w:rPr>
                <w:rFonts w:ascii="Arial" w:hAnsi="Arial"/>
                <w:b w:val="0"/>
                <w:sz w:val="14"/>
              </w:rPr>
              <w:t>Tablo 12 ve 26 ile anlatı aynı posterior özetine bağlanmalı.</w:t>
            </w:r>
          </w:p>
        </w:tc>
      </w:tr>
      <w:tr>
        <w:tc>
          <w:tcPr>
            <w:tcW w:type="dxa" w:w="2873"/>
            <w:vAlign w:val="center"/>
          </w:tcPr>
          <w:p>
            <w:r/>
            <w:r>
              <w:rPr>
                <w:rFonts w:ascii="Arial" w:hAnsi="Arial"/>
                <w:b w:val="0"/>
                <w:sz w:val="14"/>
              </w:rPr>
              <w:t>27</w:t>
            </w:r>
          </w:p>
        </w:tc>
        <w:tc>
          <w:tcPr>
            <w:tcW w:type="dxa" w:w="2873"/>
            <w:vAlign w:val="center"/>
            <w:shd w:fill="FFF2CC"/>
          </w:tcPr>
          <w:p>
            <w:r/>
            <w:r>
              <w:rPr>
                <w:rFonts w:ascii="Arial" w:hAnsi="Arial"/>
                <w:b w:val="0"/>
                <w:sz w:val="14"/>
              </w:rPr>
              <w:t>Kısmi</w:t>
            </w:r>
          </w:p>
        </w:tc>
        <w:tc>
          <w:tcPr>
            <w:tcW w:type="dxa" w:w="2873"/>
            <w:vAlign w:val="center"/>
          </w:tcPr>
          <w:p>
            <w:r/>
            <w:r>
              <w:rPr>
                <w:rFonts w:ascii="Arial" w:hAnsi="Arial"/>
                <w:b w:val="0"/>
                <w:sz w:val="14"/>
              </w:rPr>
              <w:t>Tablo–kaynak tablo</w:t>
            </w:r>
          </w:p>
        </w:tc>
        <w:tc>
          <w:tcPr>
            <w:tcW w:type="dxa" w:w="2873"/>
            <w:vAlign w:val="center"/>
          </w:tcPr>
          <w:p>
            <w:r/>
            <w:r>
              <w:rPr>
                <w:rFonts w:ascii="Arial" w:hAnsi="Arial"/>
                <w:b w:val="0"/>
                <w:sz w:val="14"/>
              </w:rPr>
              <w:t>Sentez tablosu H3 BF₁₀ aralığını 0,17–0,25 verir; Tablo 26 ve anlatı 0,17–0,23 verir.</w:t>
            </w:r>
          </w:p>
        </w:tc>
        <w:tc>
          <w:tcPr>
            <w:tcW w:type="dxa" w:w="2873"/>
            <w:vAlign w:val="center"/>
          </w:tcPr>
          <w:p>
            <w:r/>
            <w:r>
              <w:rPr>
                <w:rFonts w:ascii="Arial" w:hAnsi="Arial"/>
                <w:b w:val="0"/>
                <w:sz w:val="14"/>
              </w:rPr>
              <w:t>Üst sınır 0,23 olarak düzeltilmeli veya kanonik model değeri doğrulanmalı.</w:t>
            </w:r>
          </w:p>
        </w:tc>
      </w:tr>
      <w:tr>
        <w:tc>
          <w:tcPr>
            <w:tcW w:type="dxa" w:w="2873"/>
            <w:vAlign w:val="center"/>
          </w:tcPr>
          <w:p>
            <w:r/>
            <w:r>
              <w:rPr>
                <w:rFonts w:ascii="Arial" w:hAnsi="Arial"/>
                <w:b w:val="0"/>
                <w:sz w:val="14"/>
              </w:rPr>
              <w:t>28</w:t>
            </w:r>
          </w:p>
        </w:tc>
        <w:tc>
          <w:tcPr>
            <w:tcW w:type="dxa" w:w="2873"/>
            <w:vAlign w:val="center"/>
            <w:shd w:fill="D9EAD3"/>
          </w:tcPr>
          <w:p>
            <w:r/>
            <w:r>
              <w:rPr>
                <w:rFonts w:ascii="Arial" w:hAnsi="Arial"/>
                <w:b w:val="0"/>
                <w:sz w:val="14"/>
              </w:rPr>
              <w:t>Uyumlu</w:t>
            </w:r>
          </w:p>
        </w:tc>
        <w:tc>
          <w:tcPr>
            <w:tcW w:type="dxa" w:w="2873"/>
            <w:vAlign w:val="center"/>
          </w:tcPr>
          <w:p>
            <w:r/>
            <w:r>
              <w:rPr>
                <w:rFonts w:ascii="Arial" w:hAnsi="Arial"/>
                <w:b w:val="0"/>
                <w:sz w:val="14"/>
              </w:rPr>
              <w:t>Metin–tablo</w:t>
            </w:r>
          </w:p>
        </w:tc>
        <w:tc>
          <w:tcPr>
            <w:tcW w:type="dxa" w:w="2873"/>
            <w:vAlign w:val="center"/>
          </w:tcPr>
          <w:p>
            <w:r/>
            <w:r>
              <w:rPr>
                <w:rFonts w:ascii="Arial" w:hAnsi="Arial"/>
                <w:b w:val="0"/>
                <w:sz w:val="14"/>
              </w:rPr>
              <w:t>Yıl × grup sayıları ve “2023 en geniş ortak destek” yorumu uyumlu.</w:t>
            </w:r>
          </w:p>
        </w:tc>
        <w:tc>
          <w:tcPr>
            <w:tcW w:type="dxa" w:w="2873"/>
            <w:vAlign w:val="center"/>
          </w:tcPr>
          <w:p>
            <w:r/>
            <w:r>
              <w:rPr>
                <w:rFonts w:ascii="Arial" w:hAnsi="Arial"/>
                <w:b w:val="0"/>
                <w:sz w:val="14"/>
              </w:rPr>
              <w:t>Değişiklik gerekmiyor.</w:t>
            </w:r>
          </w:p>
        </w:tc>
      </w:tr>
      <w:tr>
        <w:tc>
          <w:tcPr>
            <w:tcW w:type="dxa" w:w="2873"/>
            <w:vAlign w:val="center"/>
          </w:tcPr>
          <w:p>
            <w:r/>
            <w:r>
              <w:rPr>
                <w:rFonts w:ascii="Arial" w:hAnsi="Arial"/>
                <w:b w:val="0"/>
                <w:sz w:val="14"/>
              </w:rPr>
              <w:t>29</w:t>
            </w:r>
          </w:p>
        </w:tc>
        <w:tc>
          <w:tcPr>
            <w:tcW w:type="dxa" w:w="2873"/>
            <w:vAlign w:val="center"/>
            <w:shd w:fill="FFF2CC"/>
          </w:tcPr>
          <w:p>
            <w:r/>
            <w:r>
              <w:rPr>
                <w:rFonts w:ascii="Arial" w:hAnsi="Arial"/>
                <w:b w:val="0"/>
                <w:sz w:val="14"/>
              </w:rPr>
              <w:t>Kısmi</w:t>
            </w:r>
          </w:p>
        </w:tc>
        <w:tc>
          <w:tcPr>
            <w:tcW w:type="dxa" w:w="2873"/>
            <w:vAlign w:val="center"/>
          </w:tcPr>
          <w:p>
            <w:r/>
            <w:r>
              <w:rPr>
                <w:rFonts w:ascii="Arial" w:hAnsi="Arial"/>
                <w:b w:val="0"/>
                <w:sz w:val="14"/>
              </w:rPr>
              <w:t>Tablo içi/QC</w:t>
            </w:r>
          </w:p>
        </w:tc>
        <w:tc>
          <w:tcPr>
            <w:tcW w:type="dxa" w:w="2873"/>
            <w:vAlign w:val="center"/>
          </w:tcPr>
          <w:p>
            <w:r/>
            <w:r>
              <w:rPr>
                <w:rFonts w:ascii="Arial" w:hAnsi="Arial"/>
                <w:b w:val="0"/>
                <w:sz w:val="14"/>
              </w:rPr>
              <w:t>medeni_durum kod açıklaması “kaynak forma göre kesinleştirilmelidir” diyerek final veri sözlüğünde açık görev bırakıyor.</w:t>
            </w:r>
          </w:p>
        </w:tc>
        <w:tc>
          <w:tcPr>
            <w:tcW w:type="dxa" w:w="2873"/>
            <w:vAlign w:val="center"/>
          </w:tcPr>
          <w:p>
            <w:r/>
            <w:r>
              <w:rPr>
                <w:rFonts w:ascii="Arial" w:hAnsi="Arial"/>
                <w:b w:val="0"/>
                <w:sz w:val="14"/>
              </w:rPr>
              <w:t>0 ve 2 kodlarının kesin anlamı yazılmalı; nihai veri sözlüğünde gelecek-zamanlı QC görevi kalmamalı.</w:t>
            </w:r>
          </w:p>
        </w:tc>
      </w:tr>
    </w:tbl>
    <w:p>
      <w:pPr>
        <w:sectPr>
          <w:pgSz w:w="15840" w:h="12240" w:orient="landscape"/>
          <w:pgMar w:top="737" w:right="737" w:bottom="737" w:left="737" w:header="720" w:footer="720" w:gutter="0"/>
          <w:cols w:space="720"/>
          <w:docGrid w:linePitch="360"/>
        </w:sectPr>
      </w:pPr>
    </w:p>
    <w:p>
      <w:pPr>
        <w:pStyle w:val="Heading1"/>
      </w:pPr>
      <w:r>
        <w:t>6. Tek-kaynak eşitliği için önerilen kalite kapısı</w:t>
      </w:r>
    </w:p>
    <w:p>
      <w:r>
        <w:t>Aşağıdaki kontroller tar_make() sonrasında, DOCX üretilmeden önce otomatik olarak çalıştırılmalıdır:</w:t>
      </w:r>
    </w:p>
    <w:p>
      <w:r>
        <w:t>1. LPA: which.min(BIC)=4, selected_profile=3 ve ΔBIC≤2 kontrolleri; plot_data ile table_data için all.equal().</w:t>
      </w:r>
    </w:p>
    <w:p>
      <w:r>
        <w:t>2. Ağ: ağ değişken seti, en yüksek üç strength/EI düğümü ve NCT p değerleri anlatı, tablo ve görsele tek nesneden enjekte edilmeli.</w:t>
      </w:r>
    </w:p>
    <w:p>
      <w:r>
        <w:t>3. Psikometri: şekil altyazıları, grafikte gerçekten bulunan ölçütlerin manifesti üzerinden oluşturulmalı; CI varsa error-bar zorunluluğu test edilmeli.</w:t>
      </w:r>
    </w:p>
    <w:p>
      <w:r>
        <w:t>4. Çoklu-evren: outcome filtresi ve spesifikasyon sayısı başlıkta açık olmalı; rejection-only iddiası varsa plot_data$outcome tek düzey olmalı.</w:t>
      </w:r>
    </w:p>
    <w:p>
      <w:r>
        <w:t>5. Klinik sınıflandırma: apparent/corrected ve raw/standardized metrikler ayrı değişken adlarıyla taşınmalı.</w:t>
      </w:r>
    </w:p>
    <w:p>
      <w:r>
        <w:t>6. Metin–tablo literal testi: seçilmiş bütün sayısal alanlar için narrative_value == table_value kontrolü; tolerans yalnız önceden belirlenen yuvarlama düzeyinde.</w:t>
      </w:r>
    </w:p>
    <w:p>
      <w:r>
        <w:t>7. Görsel anotasyon manifesti: her şekil için figure_id, source_csv, metric, scale, group, selected_model, caption_assertions alanları JSON olarak saklanmalı.</w:t>
      </w:r>
    </w:p>
    <w:p>
      <w:r>
        <w:t>8. Final PDF görünürlük testi: resim içine gömülü eski metin/etiketleri yakalamak için şekil veri manifesti ile caption_assertions karşılaştırılmalı.</w:t>
      </w:r>
    </w:p>
    <w:p>
      <w:pPr>
        <w:pStyle w:val="Heading1"/>
      </w:pPr>
      <w:r>
        <w:t>7. Önceliklendirilmiş düzeltme sırası</w:t>
      </w:r>
    </w:p>
    <w:p>
      <w:r>
        <w:t>1. Şekil 10 ve ağ analizi üçlüsü (metin–Tablo 21–Şekil 11).</w:t>
      </w:r>
    </w:p>
    <w:p>
      <w:r>
        <w:t>2. Şekil 17–22 ileri analiz katmanı: caption/estimand ve kaynak sürümü eşleştirmesi.</w:t>
      </w:r>
    </w:p>
    <w:p>
      <w:r>
        <w:t>3. Tablo 19 ve Tablo 25 sayısal/yorumsal sürüm eşitliği.</w:t>
      </w:r>
    </w:p>
    <w:p>
      <w:r>
        <w:t>4. Şekil 1, 5, 6, 7, 15, 21 ile Tablo 6, 16, 18, 26 majör uyumsuzlukları.</w:t>
      </w:r>
    </w:p>
    <w:p>
      <w:r>
        <w:t>5. Kısmi terminoloji, yuvarlama, çapraz başvuru ve veri sözlüğü düzeltmeleri.</w:t>
      </w:r>
    </w:p>
    <w:p>
      <w:r>
        <w:t>6. Tüm düzeltmeler sonrası DOCX/PDF yeniden render edilip 55 artefaktın aynı matrisle tekrar denetlenmesi.</w:t>
      </w:r>
    </w:p>
    <w:p>
      <w:pPr>
        <w:pStyle w:val="Heading1"/>
      </w:pPr>
      <w:r>
        <w:t>8. Son hüküm</w:t>
      </w:r>
    </w:p>
    <w:p>
      <w:r>
        <w:rPr>
          <w:b/>
        </w:rPr>
        <w:t xml:space="preserve">Metin–şekil–tablo eşitliği geçmedi. </w:t>
      </w:r>
      <w:r>
        <w:t>55 artefaktın 26’sı uyumlu, 9’u kısmi, 11’i majör ve 9’u kritik uyumsuzluk taşımaktadır. Birincil H1–H5 temel tablolarının çoğu kendi içinde tutarlı olsa da, keşifsel/ikincil analiz katmanlarında eski grafik veya anlatı sürümlerinin yeni tablolarla birlikte kaldığı görülmektedir. Nihai bilimsel dosya, P0 ve P1 maddeleri kapatılıp bütün artefaktlar tek kanonik veri nesnesinden yeniden üretildikten sonra eşitlik kontrolünden geçirilmelidir.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