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after="140"/>
      </w:pPr>
      <w:r>
        <w:rPr>
          <w:rFonts w:ascii="Aptos Display" w:hAnsi="Aptos Display"/>
          <w:b/>
          <w:color w:val="0F766E"/>
          <w:sz w:val="28"/>
        </w:rPr>
        <w:t>MOTORCYCLE DELIVERY PLATFORM</w:t>
      </w:r>
    </w:p>
    <w:p>
      <w:pPr>
        <w:pStyle w:val="Title"/>
      </w:pPr>
      <w:r>
        <w:t>Product requirements</w:t>
        <w:br/>
        <w:t>and technical design</w:t>
      </w:r>
    </w:p>
    <w:p>
      <w:pPr>
        <w:spacing w:before="200"/>
      </w:pPr>
      <w:r>
        <w:rPr>
          <w:color w:val="5B6673"/>
          <w:sz w:val="24"/>
        </w:rPr>
        <w:t>React Native for iOS and Android  |  Angular back office  |  C# microservices</w:t>
      </w:r>
    </w:p>
    <w:p>
      <w:r>
        <w:t>Implementation-ready product specification for discovery, UX design, engineering estimation and delivery planning.</w:t>
      </w:r>
    </w:p>
    <w:p>
      <w:pPr>
        <w:spacing w:before="320"/>
        <w:jc w:val="center"/>
      </w:pPr>
      <w:r>
        <w:drawing>
          <wp:inline xmlns:a="http://schemas.openxmlformats.org/drawingml/2006/main" xmlns:pic="http://schemas.openxmlformats.org/drawingml/2006/picture">
            <wp:extent cx="6309360" cy="4206240"/>
            <wp:docPr id="1" name="Picture 1"/>
            <wp:cNvGraphicFramePr>
              <a:graphicFrameLocks noChangeAspect="1"/>
            </wp:cNvGraphicFramePr>
            <a:graphic>
              <a:graphicData uri="http://schemas.openxmlformats.org/drawingml/2006/picture">
                <pic:pic>
                  <pic:nvPicPr>
                    <pic:cNvPr id="0" name="a_clean_flat_modern_ui_ux_showcase_image_a_larg.png"/>
                    <pic:cNvPicPr/>
                  </pic:nvPicPr>
                  <pic:blipFill>
                    <a:blip r:embed="rId11"/>
                    <a:stretch>
                      <a:fillRect/>
                    </a:stretch>
                  </pic:blipFill>
                  <pic:spPr>
                    <a:xfrm>
                      <a:off x="0" y="0"/>
                      <a:ext cx="6309360" cy="4206240"/>
                    </a:xfrm>
                    <a:prstGeom prst="rect"/>
                  </pic:spPr>
                </pic:pic>
              </a:graphicData>
            </a:graphic>
          </wp:inline>
        </w:drawing>
      </w:r>
    </w:p>
    <w:p>
      <w:pPr>
        <w:pStyle w:val="SmallNote"/>
      </w:pPr>
      <w:r>
        <w:t>Working product name: SwiftRide. The name and visual identity are placeholders. Replace them before public launch.</w:t>
      </w:r>
    </w:p>
    <w:p>
      <w:pPr>
        <w:pStyle w:val="SmallNote"/>
      </w:pPr>
      <w:r>
        <w:t>Version 1.0 | 22 October 2026 | South Africa-first launch assumption</w:t>
      </w:r>
    </w:p>
    <w:p>
      <w:r>
        <w:br w:type="page"/>
      </w:r>
    </w:p>
    <w:p>
      <w:pPr>
        <w:pStyle w:val="Heading1"/>
        <w:keepNext/>
      </w:pPr>
      <w:r>
        <w:t>Document guide</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237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Section</w:t>
            </w:r>
          </w:p>
        </w:tc>
        <w:tc>
          <w:tcPr>
            <w:tcW w:type="dxa" w:w="756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Purpose</w:t>
            </w:r>
          </w:p>
        </w:tc>
      </w:tr>
      <w:tr>
        <w:trPr>
          <w:cantSplit/>
        </w:trPr>
        <w:tc>
          <w:tcPr>
            <w:tcW w:type="dxa" w:w="2376"/>
            <w:vAlign w:val="center"/>
            <w:tcMar>
              <w:top w:w="80" w:type="dxa"/>
              <w:start w:w="95" w:type="dxa"/>
              <w:bottom w:w="80" w:type="dxa"/>
              <w:end w:w="95" w:type="dxa"/>
            </w:tcMar>
          </w:tcPr>
          <w:p>
            <w:pPr>
              <w:spacing w:after="0" w:line="240" w:lineRule="auto"/>
            </w:pPr>
            <w:r/>
            <w:r>
              <w:rPr>
                <w:rFonts w:ascii="Aptos" w:hAnsi="Aptos" w:eastAsia="Aptos"/>
                <w:b w:val="0"/>
                <w:color w:val="1F2937"/>
                <w:sz w:val="16"/>
              </w:rPr>
              <w:t>1. Product direction</w:t>
            </w:r>
          </w:p>
        </w:tc>
        <w:tc>
          <w:tcPr>
            <w:tcW w:type="dxa" w:w="7560"/>
            <w:vAlign w:val="center"/>
            <w:tcMar>
              <w:top w:w="80" w:type="dxa"/>
              <w:start w:w="95" w:type="dxa"/>
              <w:bottom w:w="80" w:type="dxa"/>
              <w:end w:w="95" w:type="dxa"/>
            </w:tcMar>
          </w:tcPr>
          <w:p>
            <w:pPr>
              <w:spacing w:after="0" w:line="240" w:lineRule="auto"/>
            </w:pPr>
            <w:r/>
            <w:r>
              <w:rPr>
                <w:rFonts w:ascii="Aptos" w:hAnsi="Aptos" w:eastAsia="Aptos"/>
                <w:b w:val="0"/>
                <w:color w:val="1F2937"/>
                <w:sz w:val="16"/>
              </w:rPr>
              <w:t>Vision, users, business outcomes, scope and measures.</w:t>
            </w:r>
          </w:p>
        </w:tc>
      </w:tr>
      <w:tr>
        <w:trPr>
          <w:cantSplit/>
        </w:trPr>
        <w:tc>
          <w:tcPr>
            <w:tcW w:type="dxa" w:w="23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2. Journeys and screens</w:t>
            </w:r>
          </w:p>
        </w:tc>
        <w:tc>
          <w:tcPr>
            <w:tcW w:type="dxa" w:w="75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Screen fields, validation, actions and acceptance criteria for each client.</w:t>
            </w:r>
          </w:p>
        </w:tc>
      </w:tr>
      <w:tr>
        <w:trPr>
          <w:cantSplit/>
        </w:trPr>
        <w:tc>
          <w:tcPr>
            <w:tcW w:type="dxa" w:w="2376"/>
            <w:vAlign w:val="center"/>
            <w:tcMar>
              <w:top w:w="80" w:type="dxa"/>
              <w:start w:w="95" w:type="dxa"/>
              <w:bottom w:w="80" w:type="dxa"/>
              <w:end w:w="95" w:type="dxa"/>
            </w:tcMar>
          </w:tcPr>
          <w:p>
            <w:pPr>
              <w:spacing w:after="0" w:line="240" w:lineRule="auto"/>
            </w:pPr>
            <w:r/>
            <w:r>
              <w:rPr>
                <w:rFonts w:ascii="Aptos" w:hAnsi="Aptos" w:eastAsia="Aptos"/>
                <w:b w:val="0"/>
                <w:color w:val="1F2937"/>
                <w:sz w:val="16"/>
              </w:rPr>
              <w:t>3. Order lifecycle and rules</w:t>
            </w:r>
          </w:p>
        </w:tc>
        <w:tc>
          <w:tcPr>
            <w:tcW w:type="dxa" w:w="7560"/>
            <w:vAlign w:val="center"/>
            <w:tcMar>
              <w:top w:w="80" w:type="dxa"/>
              <w:start w:w="95" w:type="dxa"/>
              <w:bottom w:w="80" w:type="dxa"/>
              <w:end w:w="95" w:type="dxa"/>
            </w:tcMar>
          </w:tcPr>
          <w:p>
            <w:pPr>
              <w:spacing w:after="0" w:line="240" w:lineRule="auto"/>
            </w:pPr>
            <w:r/>
            <w:r>
              <w:rPr>
                <w:rFonts w:ascii="Aptos" w:hAnsi="Aptos" w:eastAsia="Aptos"/>
                <w:b w:val="0"/>
                <w:color w:val="1F2937"/>
                <w:sz w:val="16"/>
              </w:rPr>
              <w:t>State machine, cancellation, dispatch, proof of delivery and payment rules.</w:t>
            </w:r>
          </w:p>
        </w:tc>
      </w:tr>
      <w:tr>
        <w:trPr>
          <w:cantSplit/>
        </w:trPr>
        <w:tc>
          <w:tcPr>
            <w:tcW w:type="dxa" w:w="23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4. Backend and integration</w:t>
            </w:r>
          </w:p>
        </w:tc>
        <w:tc>
          <w:tcPr>
            <w:tcW w:type="dxa" w:w="75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Microservice boundaries, event contracts, APIs and data ownership.</w:t>
            </w:r>
          </w:p>
        </w:tc>
      </w:tr>
      <w:tr>
        <w:trPr>
          <w:cantSplit/>
        </w:trPr>
        <w:tc>
          <w:tcPr>
            <w:tcW w:type="dxa" w:w="2376"/>
            <w:vAlign w:val="center"/>
            <w:tcMar>
              <w:top w:w="80" w:type="dxa"/>
              <w:start w:w="95" w:type="dxa"/>
              <w:bottom w:w="80" w:type="dxa"/>
              <w:end w:w="95" w:type="dxa"/>
            </w:tcMar>
          </w:tcPr>
          <w:p>
            <w:pPr>
              <w:spacing w:after="0" w:line="240" w:lineRule="auto"/>
            </w:pPr>
            <w:r/>
            <w:r>
              <w:rPr>
                <w:rFonts w:ascii="Aptos" w:hAnsi="Aptos" w:eastAsia="Aptos"/>
                <w:b w:val="0"/>
                <w:color w:val="1F2937"/>
                <w:sz w:val="16"/>
              </w:rPr>
              <w:t>5. Platform engineering</w:t>
            </w:r>
          </w:p>
        </w:tc>
        <w:tc>
          <w:tcPr>
            <w:tcW w:type="dxa" w:w="7560"/>
            <w:vAlign w:val="center"/>
            <w:tcMar>
              <w:top w:w="80" w:type="dxa"/>
              <w:start w:w="95" w:type="dxa"/>
              <w:bottom w:w="80" w:type="dxa"/>
              <w:end w:w="95" w:type="dxa"/>
            </w:tcMar>
          </w:tcPr>
          <w:p>
            <w:pPr>
              <w:spacing w:after="0" w:line="240" w:lineRule="auto"/>
            </w:pPr>
            <w:r/>
            <w:r>
              <w:rPr>
                <w:rFonts w:ascii="Aptos" w:hAnsi="Aptos" w:eastAsia="Aptos"/>
                <w:b w:val="0"/>
                <w:color w:val="1F2937"/>
                <w:sz w:val="16"/>
              </w:rPr>
              <w:t>Security, reliability, monitoring, testing and deployment requirements.</w:t>
            </w:r>
          </w:p>
        </w:tc>
      </w:tr>
      <w:tr>
        <w:trPr>
          <w:cantSplit/>
        </w:trPr>
        <w:tc>
          <w:tcPr>
            <w:tcW w:type="dxa" w:w="23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6. Delivery plan</w:t>
            </w:r>
          </w:p>
        </w:tc>
        <w:tc>
          <w:tcPr>
            <w:tcW w:type="dxa" w:w="75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Release phases, backlog priorities, launch gates and open decisions.</w:t>
            </w:r>
          </w:p>
        </w:tc>
      </w:tr>
      <w:tr>
        <w:trPr>
          <w:cantSplit/>
        </w:trPr>
        <w:tc>
          <w:tcPr>
            <w:tcW w:type="dxa" w:w="2376"/>
            <w:vAlign w:val="center"/>
            <w:tcMar>
              <w:top w:w="80" w:type="dxa"/>
              <w:start w:w="95" w:type="dxa"/>
              <w:bottom w:w="80" w:type="dxa"/>
              <w:end w:w="95" w:type="dxa"/>
            </w:tcMar>
          </w:tcPr>
          <w:p>
            <w:pPr>
              <w:spacing w:after="0" w:line="240" w:lineRule="auto"/>
            </w:pPr>
            <w:r/>
            <w:r>
              <w:rPr>
                <w:rFonts w:ascii="Aptos" w:hAnsi="Aptos" w:eastAsia="Aptos"/>
                <w:b w:val="0"/>
                <w:color w:val="1F2937"/>
                <w:sz w:val="16"/>
              </w:rPr>
              <w:t>Appendix</w:t>
            </w:r>
          </w:p>
        </w:tc>
        <w:tc>
          <w:tcPr>
            <w:tcW w:type="dxa" w:w="7560"/>
            <w:vAlign w:val="center"/>
            <w:tcMar>
              <w:top w:w="80" w:type="dxa"/>
              <w:start w:w="95" w:type="dxa"/>
              <w:bottom w:w="80" w:type="dxa"/>
              <w:end w:w="95" w:type="dxa"/>
            </w:tcMar>
          </w:tcPr>
          <w:p>
            <w:pPr>
              <w:spacing w:after="0" w:line="240" w:lineRule="auto"/>
            </w:pPr>
            <w:r/>
            <w:r>
              <w:rPr>
                <w:rFonts w:ascii="Aptos" w:hAnsi="Aptos" w:eastAsia="Aptos"/>
                <w:b w:val="0"/>
                <w:color w:val="1F2937"/>
                <w:sz w:val="16"/>
              </w:rPr>
              <w:t>Technology references and terms.</w:t>
            </w:r>
          </w:p>
        </w:tc>
      </w:tr>
    </w:tbl>
    <w:p>
      <w:pPr>
        <w:spacing w:after="0"/>
      </w:pPr>
    </w:p>
    <w:tbl>
      <w:tblPr>
        <w:tblW w:type="auto" w:w="0"/>
        <w:jc w:val="center"/>
        <w:tblLook w:firstColumn="1" w:firstRow="1" w:lastColumn="0" w:lastRow="0" w:noHBand="0" w:noVBand="1" w:val="04A0"/>
      </w:tblPr>
      <w:tblGrid>
        <w:gridCol w:w="10166"/>
      </w:tblGrid>
      <w:tr>
        <w:tc>
          <w:tcPr>
            <w:tcW w:type="dxa" w:w="10166"/>
            <w:shd w:fill="E6F4F1"/>
            <w:tcMar>
              <w:top w:w="130" w:type="dxa"/>
              <w:start w:w="160" w:type="dxa"/>
              <w:bottom w:w="130" w:type="dxa"/>
              <w:end w:w="160" w:type="dxa"/>
            </w:tcMar>
          </w:tcPr>
          <w:p>
            <w:pPr>
              <w:spacing w:after="60"/>
            </w:pPr>
            <w:r/>
            <w:r>
              <w:rPr>
                <w:b/>
                <w:color w:val="0F766E"/>
                <w:sz w:val="20"/>
              </w:rPr>
              <w:t>How to use this specification</w:t>
            </w:r>
          </w:p>
          <w:p>
            <w:pPr>
              <w:spacing w:after="0"/>
            </w:pPr>
            <w:r>
              <w:rPr>
                <w:sz w:val="18"/>
              </w:rPr>
              <w:t>Treat requirements marked Must as release blockers. Confirm assumptions and policy choices with the business before sprint planning. API names and examples are proposals, not existing endpoints.</w:t>
            </w:r>
          </w:p>
        </w:tc>
      </w:tr>
    </w:tbl>
    <w:p>
      <w:pPr>
        <w:spacing w:after="0"/>
      </w:pPr>
    </w:p>
    <w:p>
      <w:pPr>
        <w:pStyle w:val="Heading1"/>
        <w:keepNext/>
      </w:pPr>
      <w:r>
        <w:t>1. Product direction</w:t>
      </w:r>
    </w:p>
    <w:p>
      <w:pPr>
        <w:pStyle w:val="Heading2"/>
        <w:keepNext/>
      </w:pPr>
      <w:r>
        <w:t>1.1 Product vision</w:t>
      </w:r>
    </w:p>
    <w:p>
      <w:r>
        <w:t>Build a dependable motorcycle delivery platform that connects customers, approved riders, merchants and operations staff. Customers should book and track a delivery without calling the office. Riders should complete jobs with clear instructions and verifiable delivery evidence. Operations staff should control exceptions from one back office.</w:t>
      </w:r>
    </w:p>
    <w:p>
      <w:pPr>
        <w:pStyle w:val="Heading2"/>
        <w:keepNext/>
      </w:pPr>
      <w:r>
        <w:t>1.2 Product goals</w:t>
      </w:r>
    </w:p>
    <w:p>
      <w:pPr>
        <w:pStyle w:val="ListBullet"/>
        <w:spacing w:after="40"/>
      </w:pPr>
      <w:r>
        <w:t>Allow a customer to request an eligible delivery, see a price before committing and receive status updates throughout the delivery.</w:t>
      </w:r>
    </w:p>
    <w:p>
      <w:pPr>
        <w:pStyle w:val="ListBullet"/>
        <w:spacing w:after="40"/>
      </w:pPr>
      <w:r>
        <w:t>Assign each paid or otherwise authorised order to one eligible rider, with manual intervention available to operations.</w:t>
      </w:r>
    </w:p>
    <w:p>
      <w:pPr>
        <w:pStyle w:val="ListBullet"/>
        <w:spacing w:after="40"/>
      </w:pPr>
      <w:r>
        <w:t>Capture secure collection and delivery evidence, including recipient verification and time-stamped status changes.</w:t>
      </w:r>
    </w:p>
    <w:p>
      <w:pPr>
        <w:pStyle w:val="ListBullet"/>
        <w:spacing w:after="40"/>
      </w:pPr>
      <w:r>
        <w:t>Give operations current visibility of orders, rider availability, exceptions, payment states and delivery performance.</w:t>
      </w:r>
    </w:p>
    <w:p>
      <w:pPr>
        <w:pStyle w:val="ListBullet"/>
        <w:spacing w:after="40"/>
      </w:pPr>
      <w:r>
        <w:t>Provide a foundation for business accounts, integrations and growth without prematurely splitting every feature into a service.</w:t>
      </w:r>
    </w:p>
    <w:p>
      <w:pPr>
        <w:pStyle w:val="Heading2"/>
        <w:keepNext/>
      </w:pPr>
      <w:r>
        <w:t>1.3 Primary users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User</w:t>
            </w:r>
          </w:p>
        </w:tc>
        <w:tc>
          <w:tcPr>
            <w:tcW w:type="dxa" w:w="446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Primary needs</w:t>
            </w:r>
          </w:p>
        </w:tc>
        <w:tc>
          <w:tcPr>
            <w:tcW w:type="dxa" w:w="367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Application</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Customer</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Book, pay, track, manage history and raise issues.</w:t>
            </w:r>
          </w:p>
        </w:tc>
        <w:tc>
          <w:tcPr>
            <w:tcW w:type="dxa" w:w="3672"/>
            <w:vAlign w:val="center"/>
            <w:tcMar>
              <w:top w:w="80" w:type="dxa"/>
              <w:start w:w="95" w:type="dxa"/>
              <w:bottom w:w="80" w:type="dxa"/>
              <w:end w:w="95" w:type="dxa"/>
            </w:tcMar>
          </w:tcPr>
          <w:p>
            <w:pPr>
              <w:spacing w:after="0" w:line="240" w:lineRule="auto"/>
            </w:pPr>
            <w:r/>
            <w:r>
              <w:rPr>
                <w:rFonts w:ascii="Aptos" w:hAnsi="Aptos" w:eastAsia="Aptos"/>
                <w:b w:val="0"/>
                <w:color w:val="1F2937"/>
                <w:sz w:val="16"/>
              </w:rPr>
              <w:t>Customer app, iOS and Android</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Complete onboarding, receive work, navigate, record evidence and view earnings.</w:t>
            </w:r>
          </w:p>
        </w:tc>
        <w:tc>
          <w:tcPr>
            <w:tcW w:type="dxa" w:w="367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app, iOS and Android</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Dispatcher</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Assign and reassign jobs, resolve exceptions and monitor live operations.</w:t>
            </w:r>
          </w:p>
        </w:tc>
        <w:tc>
          <w:tcPr>
            <w:tcW w:type="dxa" w:w="3672"/>
            <w:vAlign w:val="center"/>
            <w:tcMar>
              <w:top w:w="80" w:type="dxa"/>
              <w:start w:w="95" w:type="dxa"/>
              <w:bottom w:w="80" w:type="dxa"/>
              <w:end w:w="95" w:type="dxa"/>
            </w:tcMar>
          </w:tcPr>
          <w:p>
            <w:pPr>
              <w:spacing w:after="0" w:line="240" w:lineRule="auto"/>
            </w:pPr>
            <w:r/>
            <w:r>
              <w:rPr>
                <w:rFonts w:ascii="Aptos" w:hAnsi="Aptos" w:eastAsia="Aptos"/>
                <w:b w:val="0"/>
                <w:color w:val="1F2937"/>
                <w:sz w:val="16"/>
              </w:rPr>
              <w:t>Angular back office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Support agent</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Find orders, investigate complaints and communicate with customers or riders.</w:t>
            </w:r>
          </w:p>
        </w:tc>
        <w:tc>
          <w:tcPr>
            <w:tcW w:type="dxa" w:w="367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Angular back office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 verifier</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Review identity, licence, motorcycle, insurance and other required documents.</w:t>
            </w:r>
          </w:p>
        </w:tc>
        <w:tc>
          <w:tcPr>
            <w:tcW w:type="dxa" w:w="3672"/>
            <w:vAlign w:val="center"/>
            <w:tcMar>
              <w:top w:w="80" w:type="dxa"/>
              <w:start w:w="95" w:type="dxa"/>
              <w:bottom w:w="80" w:type="dxa"/>
              <w:end w:w="95" w:type="dxa"/>
            </w:tcMar>
          </w:tcPr>
          <w:p>
            <w:pPr>
              <w:spacing w:after="0" w:line="240" w:lineRule="auto"/>
            </w:pPr>
            <w:r/>
            <w:r>
              <w:rPr>
                <w:rFonts w:ascii="Aptos" w:hAnsi="Aptos" w:eastAsia="Aptos"/>
                <w:b w:val="0"/>
                <w:color w:val="1F2937"/>
                <w:sz w:val="16"/>
              </w:rPr>
              <w:t>Angular back office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Finance operator/approver</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Reconcile transactions, approve refunds and review rider remittances.</w:t>
            </w:r>
          </w:p>
        </w:tc>
        <w:tc>
          <w:tcPr>
            <w:tcW w:type="dxa" w:w="367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Angular back office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Merchant user</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Create one or many deliveries and view business-level performance.</w:t>
            </w:r>
          </w:p>
        </w:tc>
        <w:tc>
          <w:tcPr>
            <w:tcW w:type="dxa" w:w="3672"/>
            <w:vAlign w:val="center"/>
            <w:tcMar>
              <w:top w:w="80" w:type="dxa"/>
              <w:start w:w="95" w:type="dxa"/>
              <w:bottom w:w="80" w:type="dxa"/>
              <w:end w:w="95" w:type="dxa"/>
            </w:tcMar>
          </w:tcPr>
          <w:p>
            <w:pPr>
              <w:spacing w:after="0" w:line="240" w:lineRule="auto"/>
            </w:pPr>
            <w:r/>
            <w:r>
              <w:rPr>
                <w:rFonts w:ascii="Aptos" w:hAnsi="Aptos" w:eastAsia="Aptos"/>
                <w:b w:val="0"/>
                <w:color w:val="1F2937"/>
                <w:sz w:val="16"/>
              </w:rPr>
              <w:t>Angular merchant area, phase 2</w:t>
            </w:r>
          </w:p>
        </w:tc>
      </w:tr>
    </w:tbl>
    <w:p>
      <w:pPr>
        <w:spacing w:after="0"/>
      </w:pPr>
    </w:p>
    <w:p>
      <w:pPr>
        <w:pStyle w:val="Heading2"/>
        <w:keepNext/>
      </w:pPr>
      <w:r>
        <w:t>1.4 Success measures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08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Measure</w:t>
            </w:r>
          </w:p>
        </w:tc>
        <w:tc>
          <w:tcPr>
            <w:tcW w:type="dxa" w:w="446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Definition</w:t>
            </w:r>
          </w:p>
        </w:tc>
        <w:tc>
          <w:tcPr>
            <w:tcW w:type="dxa" w:w="338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Target approach</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Booking completion rate</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Bookings submitted divided by booking flows started.</w:t>
            </w:r>
          </w:p>
        </w:tc>
        <w:tc>
          <w:tcPr>
            <w:tcW w:type="dxa" w:w="3384"/>
            <w:vAlign w:val="center"/>
            <w:tcMar>
              <w:top w:w="80" w:type="dxa"/>
              <w:start w:w="95" w:type="dxa"/>
              <w:bottom w:w="80" w:type="dxa"/>
              <w:end w:w="95" w:type="dxa"/>
            </w:tcMar>
          </w:tcPr>
          <w:p>
            <w:pPr>
              <w:spacing w:after="0" w:line="240" w:lineRule="auto"/>
            </w:pPr>
            <w:r/>
            <w:r>
              <w:rPr>
                <w:rFonts w:ascii="Aptos" w:hAnsi="Aptos" w:eastAsia="Aptos"/>
                <w:b w:val="0"/>
                <w:color w:val="1F2937"/>
                <w:sz w:val="16"/>
              </w:rPr>
              <w:t>Establish baseline during pilot, set target after first 2 weeks.</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Assignment time</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Time from dispatch-ready to rider acceptance.</w:t>
            </w:r>
          </w:p>
        </w:tc>
        <w:tc>
          <w:tcPr>
            <w:tcW w:type="dxa" w:w="338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Track median and p90 by zone and time of day.</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On-time delivery rate</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Delivered by promised ETA divided by eligible completed deliveries.</w:t>
            </w:r>
          </w:p>
        </w:tc>
        <w:tc>
          <w:tcPr>
            <w:tcW w:type="dxa" w:w="3384"/>
            <w:vAlign w:val="center"/>
            <w:tcMar>
              <w:top w:w="80" w:type="dxa"/>
              <w:start w:w="95" w:type="dxa"/>
              <w:bottom w:w="80" w:type="dxa"/>
              <w:end w:w="95" w:type="dxa"/>
            </w:tcMar>
          </w:tcPr>
          <w:p>
            <w:pPr>
              <w:spacing w:after="0" w:line="240" w:lineRule="auto"/>
            </w:pPr>
            <w:r/>
            <w:r>
              <w:rPr>
                <w:rFonts w:ascii="Aptos" w:hAnsi="Aptos" w:eastAsia="Aptos"/>
                <w:b w:val="0"/>
                <w:color w:val="1F2937"/>
                <w:sz w:val="16"/>
              </w:rPr>
              <w:t>Set baseline by delivery type and zone.</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Delivery completion rate</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Delivered orders divided by orders accepted for dispatch, with explicit exclusions.</w:t>
            </w:r>
          </w:p>
        </w:tc>
        <w:tc>
          <w:tcPr>
            <w:tcW w:type="dxa" w:w="338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Report failed and cancelled orders separately.</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Customer issue rate</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Orders with a support case divided by completed orders.</w:t>
            </w:r>
          </w:p>
        </w:tc>
        <w:tc>
          <w:tcPr>
            <w:tcW w:type="dxa" w:w="3384"/>
            <w:vAlign w:val="center"/>
            <w:tcMar>
              <w:top w:w="80" w:type="dxa"/>
              <w:start w:w="95" w:type="dxa"/>
              <w:bottom w:w="80" w:type="dxa"/>
              <w:end w:w="95" w:type="dxa"/>
            </w:tcMar>
          </w:tcPr>
          <w:p>
            <w:pPr>
              <w:spacing w:after="0" w:line="240" w:lineRule="auto"/>
            </w:pPr>
            <w:r/>
            <w:r>
              <w:rPr>
                <w:rFonts w:ascii="Aptos" w:hAnsi="Aptos" w:eastAsia="Aptos"/>
                <w:b w:val="0"/>
                <w:color w:val="1F2937"/>
                <w:sz w:val="16"/>
              </w:rPr>
              <w:t>Track reason codes and repeat issues.</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utilisation</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Time on active deliveries divided by eligible online time.</w:t>
            </w:r>
          </w:p>
        </w:tc>
        <w:tc>
          <w:tcPr>
            <w:tcW w:type="dxa" w:w="338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Segment by zone, shift and delivery type.</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Payment reconciliation rate</w:t>
            </w:r>
          </w:p>
        </w:tc>
        <w:tc>
          <w:tcPr>
            <w:tcW w:type="dxa" w:w="4464"/>
            <w:vAlign w:val="center"/>
            <w:tcMar>
              <w:top w:w="80" w:type="dxa"/>
              <w:start w:w="95" w:type="dxa"/>
              <w:bottom w:w="80" w:type="dxa"/>
              <w:end w:w="95" w:type="dxa"/>
            </w:tcMar>
          </w:tcPr>
          <w:p>
            <w:pPr>
              <w:spacing w:after="0" w:line="240" w:lineRule="auto"/>
            </w:pPr>
            <w:r/>
            <w:r>
              <w:rPr>
                <w:rFonts w:ascii="Aptos" w:hAnsi="Aptos" w:eastAsia="Aptos"/>
                <w:b w:val="0"/>
                <w:color w:val="1F2937"/>
                <w:sz w:val="16"/>
              </w:rPr>
              <w:t>Provider transactions matched to internal ledger entries.</w:t>
            </w:r>
          </w:p>
        </w:tc>
        <w:tc>
          <w:tcPr>
            <w:tcW w:type="dxa" w:w="3384"/>
            <w:vAlign w:val="center"/>
            <w:tcMar>
              <w:top w:w="80" w:type="dxa"/>
              <w:start w:w="95" w:type="dxa"/>
              <w:bottom w:w="80" w:type="dxa"/>
              <w:end w:w="95" w:type="dxa"/>
            </w:tcMar>
          </w:tcPr>
          <w:p>
            <w:pPr>
              <w:spacing w:after="0" w:line="240" w:lineRule="auto"/>
            </w:pPr>
            <w:r/>
            <w:r>
              <w:rPr>
                <w:rFonts w:ascii="Aptos" w:hAnsi="Aptos" w:eastAsia="Aptos"/>
                <w:b w:val="0"/>
                <w:color w:val="1F2937"/>
                <w:sz w:val="16"/>
              </w:rPr>
              <w:t>Daily reconciliation with visible unmatched exceptions.</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Unit contribution</w:t>
            </w:r>
          </w:p>
        </w:tc>
        <w:tc>
          <w:tcPr>
            <w:tcW w:type="dxa" w:w="44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Delivery revenue less direct variable delivery and payment costs.</w:t>
            </w:r>
          </w:p>
        </w:tc>
        <w:tc>
          <w:tcPr>
            <w:tcW w:type="dxa" w:w="338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Finance owns definition and validates cost allocations.</w:t>
            </w:r>
          </w:p>
        </w:tc>
      </w:tr>
    </w:tbl>
    <w:p>
      <w:pPr>
        <w:spacing w:after="0"/>
      </w:pPr>
    </w:p>
    <w:p>
      <w:pPr>
        <w:pStyle w:val="SmallNote"/>
      </w:pPr>
      <w:r>
        <w:t>Do not set numeric business targets before the business confirms the expected order volume, operating geography, delivery promise and unit economics.</w:t>
      </w:r>
    </w:p>
    <w:p>
      <w:pPr>
        <w:pStyle w:val="Heading2"/>
        <w:keepNext/>
      </w:pPr>
      <w:r>
        <w:t>1.5 Scope boundaries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496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MVP includes</w:t>
            </w:r>
          </w:p>
        </w:tc>
        <w:tc>
          <w:tcPr>
            <w:tcW w:type="dxa" w:w="496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Later or excluded unless approved</w:t>
            </w:r>
          </w:p>
        </w:tc>
      </w:tr>
      <w:tr>
        <w:trPr>
          <w:cantSplit/>
        </w:trPr>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Instant and scheduled single-stop delivery.</w:t>
            </w:r>
          </w:p>
        </w:tc>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Multi-stop route optimisation and complex batch sequencing.</w:t>
            </w:r>
          </w:p>
        </w:tc>
      </w:tr>
      <w:tr>
        <w:trPr>
          <w:cantSplit/>
        </w:trPr>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Customer and rider apps.</w:t>
            </w:r>
          </w:p>
        </w:tc>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 separate merchant mobile app.</w:t>
            </w:r>
          </w:p>
        </w:tc>
      </w:tr>
      <w:tr>
        <w:trPr>
          <w:cantSplit/>
        </w:trPr>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Manual dispatch plus basic rules-based assignment.</w:t>
            </w:r>
          </w:p>
        </w:tc>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Machine-learning demand forecasts and dynamic pricing.</w:t>
            </w:r>
          </w:p>
        </w:tc>
      </w:tr>
      <w:tr>
        <w:trPr>
          <w:cantSplit/>
        </w:trPr>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Map selection, quote, tracking, payment integration and proof of delivery.</w:t>
            </w:r>
          </w:p>
        </w:tc>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Wallets, lending, insurance products and stored-value balances.</w:t>
            </w:r>
          </w:p>
        </w:tc>
      </w:tr>
      <w:tr>
        <w:trPr>
          <w:cantSplit/>
        </w:trPr>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Operations portal, rider verification and service-area setup.</w:t>
            </w:r>
          </w:p>
        </w:tc>
        <w:tc>
          <w:tcPr>
            <w:tcW w:type="dxa" w:w="4968"/>
            <w:vAlign w:val="center"/>
            <w:tcMar>
              <w:top w:w="80" w:type="dxa"/>
              <w:start w:w="95" w:type="dxa"/>
              <w:bottom w:w="80" w:type="dxa"/>
              <w:end w:w="95" w:type="dxa"/>
            </w:tcMar>
          </w:tcPr>
          <w:p>
            <w:pPr>
              <w:spacing w:after="0" w:line="240" w:lineRule="auto"/>
            </w:pPr>
            <w:r/>
            <w:r>
              <w:rPr>
                <w:rFonts w:ascii="Aptos" w:hAnsi="Aptos" w:eastAsia="Aptos"/>
                <w:b w:val="0"/>
                <w:color w:val="1F2937"/>
                <w:sz w:val="16"/>
              </w:rPr>
              <w:t>Franchise management, international tax and multi-country rollout.</w:t>
            </w:r>
          </w:p>
        </w:tc>
      </w:tr>
      <w:tr>
        <w:trPr>
          <w:cantSplit/>
        </w:trPr>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Basic reports, audit trails and support case creation.</w:t>
            </w:r>
          </w:p>
        </w:tc>
        <w:tc>
          <w:tcPr>
            <w:tcW w:type="dxa" w:w="496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Advanced data warehouse and predictive analytics.</w:t>
            </w:r>
          </w:p>
        </w:tc>
      </w:tr>
    </w:tbl>
    <w:p>
      <w:pPr>
        <w:spacing w:after="0"/>
      </w:pPr>
    </w:p>
    <w:p>
      <w:pPr>
        <w:pStyle w:val="Heading1"/>
        <w:keepNext/>
      </w:pPr>
      <w:r>
        <w:t>2. Customer mobile app</w:t>
      </w:r>
    </w:p>
    <w:p>
      <w:r>
        <w:t>Platform: React Native with TypeScript. Keep customer and rider experiences in separate app projects or clearly isolated application entry points. Share only stable design-system components, API clients and domain types. Do not share customer-specific screens with the rider app by role switching alone.</w:t>
      </w:r>
    </w:p>
    <w:p>
      <w:pPr>
        <w:pStyle w:val="Heading2"/>
        <w:keepNext/>
      </w:pPr>
      <w:r>
        <w:t>2.1 Navigation model</w:t>
      </w:r>
    </w:p>
    <w:p>
      <w:r>
        <w:t>Primary tabs: Home, Deliveries, Saved, Profile. Authentication screens appear before the tabs. Active delivery tracking opens as a full-screen journey and remains easy to return to from Home and Deliveries.</w:t>
      </w:r>
    </w:p>
    <w:p>
      <w:pPr>
        <w:pStyle w:val="Heading2"/>
        <w:keepNext/>
      </w:pPr>
      <w:r>
        <w:t>2.2 Screen CUS-01, sign in and registration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Fields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Phone number or email, password where enabled, verification code for phone flow.</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Actions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Register, sign in, resend code with throttling, recover account, accept terms and privacy notice.</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Validation</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Normalise phone numbers; validate email; limit code attempts; expire verification codes; never reveal whether an arbitrary email is registered.</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States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Idle, submitting, verification required, error, locked/throttled, authenticated.</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A new user verifies the selected contact method before booking. Repeated verification attempts are rate-limited. Tokens are stored in platform-secure storage.</w:t>
            </w:r>
          </w:p>
        </w:tc>
      </w:tr>
    </w:tbl>
    <w:p>
      <w:pPr>
        <w:spacing w:after="0"/>
      </w:pPr>
    </w:p>
    <w:p>
      <w:pPr>
        <w:pStyle w:val="Heading2"/>
        <w:keepNext/>
      </w:pPr>
      <w:r>
        <w:t>2.3 Screen CUS-02, Home and booking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Delivery type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Instant or scheduled. Multi-stop is excluded from MVP unless approved as a launch requirement.</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Pickup</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Address search, map pin, GPS current location, saved addresses, contact name and contact number.</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Drop-off</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Address search, map pin, recipient name, recipient phone and delivery instructions.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Parcel</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Category, description, weight, dimensions where required, quantity, fragile flag and optional photo.</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Estimate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Estimated fare, currency, service type, estimated travel time, quote expiry and excluded/conditional fees.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Actions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Continue to parcel details, review quote, save address, return to edit fields.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Validation</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Pickup and drop-off must be valid and sufficiently precise. Reject coordinates outside supported service areas. Enforce configured weight, size, prohibited-item and motorcycle-capacity limits.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The customer sees an itemised estimate before placing the order. Changing an address or parcel attribute invalidates the prior quote and requests a new quote.</w:t>
            </w:r>
          </w:p>
        </w:tc>
      </w:tr>
    </w:tbl>
    <w:p>
      <w:pPr>
        <w:spacing w:after="0"/>
      </w:pPr>
    </w:p>
    <w:p>
      <w:pPr>
        <w:pStyle w:val="Heading2"/>
        <w:keepNext/>
      </w:pPr>
      <w:r>
        <w:t>2.4 Screen CUS-03, parcel details and review</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Summary</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Pickup, destination, parcel details, recipient and requested delivery time.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Editable values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Parcel category, weight, dimensions, fragile flag, instructions and contact information.</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Evidence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Optional collection photo for eligible parcel types. Define allowed formats and size limit.</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Validation</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Required fields depend on parcel category. Explain rejected categories and limits in plain language.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The final review reflects the current quote. The order request carries a quote ID and an idempotency key to protect against duplicate taps and network retries.</w:t>
            </w:r>
          </w:p>
        </w:tc>
      </w:tr>
    </w:tbl>
    <w:p>
      <w:pPr>
        <w:spacing w:after="0"/>
      </w:pPr>
    </w:p>
    <w:p>
      <w:pPr>
        <w:pStyle w:val="Heading2"/>
        <w:keepNext/>
      </w:pPr>
      <w:r>
        <w:t>2.5 Screen CUS-04, payment and confirmation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Payment methods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Provider-supported card and electronic methods. Cash on delivery is a business policy decision and should be disabled until rider cash controls exist.</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Price presentation</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Delivery fee, discounts, tax treatment where applicable and total payable.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Actions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Pay and book, retry a failed attempt, cancel before dispatch where policy permits, open receipt.</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Security</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Use provider-hosted fields or tokenisation. Do not store raw card numbers or security codes.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An order is dispatch-ready only after its configured payment condition is satisfied. A browser/app return URL is not proof of payment. Verify server-side provider callbacks and reconcile status.</w:t>
            </w:r>
          </w:p>
        </w:tc>
      </w:tr>
    </w:tbl>
    <w:p>
      <w:pPr>
        <w:spacing w:after="0"/>
      </w:pPr>
    </w:p>
    <w:p>
      <w:pPr>
        <w:pStyle w:val="Heading2"/>
        <w:keepNext/>
      </w:pPr>
      <w:r>
        <w:t>2.6 Screen CUS-05, live tracking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Map</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 marker, pickup and destination markers, route line when provider service supplies one.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Status timeline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Assigned, rider going to pickup, collected, in transit, delivered or exception status.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ETA</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Show an estimate with last-updated time. Display unavailable/stale state instead of false precision.</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Communication</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In-app message or masked call where supported. Do not expose a rider’s private number by default.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Actions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View order, open support, cancel when policy allows.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Only an authorised customer, recipient or permitted support role sees tracking. Tracking access expires after completion according to the retention policy.</w:t>
            </w:r>
          </w:p>
        </w:tc>
      </w:tr>
    </w:tbl>
    <w:p>
      <w:pPr>
        <w:spacing w:after="0"/>
      </w:pPr>
    </w:p>
    <w:p>
      <w:pPr>
        <w:pStyle w:val="Heading2"/>
        <w:keepNext/>
      </w:pPr>
      <w:r>
        <w:t>2.7 Screen CUS-06, order history and delivery completion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List</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Order reference, date, route summary, status, fare and payment status.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Details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Status timeline, rider/recipient details as authorised, receipt, delivery proof summary and support actions.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Completion</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Show recipient verification result and proof type. Restrict access to sensitive photo or signature evidence.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Repeat booking</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Copy eligible addresses and parcel settings, then request a fresh quote.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Delivered, failed and cancelled are visually and textually distinct. Customer views never permit direct editing of a completed order.</w:t>
            </w:r>
          </w:p>
        </w:tc>
      </w:tr>
    </w:tbl>
    <w:p>
      <w:pPr>
        <w:spacing w:after="0"/>
      </w:pPr>
    </w:p>
    <w:p>
      <w:pPr>
        <w:pStyle w:val="Heading2"/>
        <w:keepNext/>
      </w:pPr>
      <w:r>
        <w:t>2.8 Mobile design standards</w:t>
      </w:r>
    </w:p>
    <w:p>
      <w:pPr>
        <w:pStyle w:val="ListBullet"/>
        <w:spacing w:after="40"/>
      </w:pPr>
      <w:r>
        <w:t>Use large primary actions and readable text for outdoor use. Keep rider actions usable with limited interaction time.</w:t>
      </w:r>
    </w:p>
    <w:p>
      <w:pPr>
        <w:pStyle w:val="ListBullet"/>
        <w:spacing w:after="40"/>
      </w:pPr>
      <w:r>
        <w:t>Request location permission only when the user invokes a location-dependent function. Explain rider background tracking before enabling it.</w:t>
      </w:r>
    </w:p>
    <w:p>
      <w:pPr>
        <w:pStyle w:val="ListBullet"/>
        <w:spacing w:after="40"/>
      </w:pPr>
      <w:r>
        <w:t>Handle loading, empty, offline, permission-denied and service-error states on every network-dependent screen.</w:t>
      </w:r>
    </w:p>
    <w:p>
      <w:pPr>
        <w:pStyle w:val="ListBullet"/>
        <w:spacing w:after="40"/>
      </w:pPr>
      <w:r>
        <w:t>Use native accessibility labels, scalable text, adequate contrast, safe-area handling and screen-reader announcements for status changes.</w:t>
      </w:r>
    </w:p>
    <w:p>
      <w:pPr>
        <w:pStyle w:val="ListBullet"/>
        <w:spacing w:after="40"/>
      </w:pPr>
      <w:r>
        <w:t>Never treat a locally cached status as authoritative after reconnecting. Refresh order state from the server.</w:t>
      </w:r>
    </w:p>
    <w:p>
      <w:pPr>
        <w:pStyle w:val="Heading1"/>
        <w:keepNext/>
      </w:pPr>
      <w:r>
        <w:t>3. Rider mobile app</w:t>
      </w:r>
    </w:p>
    <w:p>
      <w:r>
        <w:t>Platform: React Native with TypeScript. The rider app is an operational tool. Keep critical actions visible, prevent accidental state transitions and provide clear recovery instructions when connectivity fails.</w:t>
      </w:r>
    </w:p>
    <w:p>
      <w:pPr>
        <w:pStyle w:val="Heading2"/>
        <w:keepNext/>
      </w:pPr>
      <w:r>
        <w:t>3.1 Navigation model</w:t>
      </w:r>
    </w:p>
    <w:p>
      <w:r>
        <w:t>Primary areas: Home/Availability, Offers, Active Delivery, Earnings, Profile and Help. An active delivery takes precedence over normal navigation. The rider must not accept overlapping assignments where the operating model permits one active delivery per rider.</w:t>
      </w:r>
    </w:p>
    <w:p>
      <w:pPr>
        <w:pStyle w:val="Heading2"/>
        <w:keepNext/>
      </w:pPr>
      <w:r>
        <w:t>3.2 Screen RID-01, onboarding and verification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Profile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Legal name, mobile, email if used, emergency contact and address fields required by policy.</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Documents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Identity, valid riding licence, motorcycle registration, insurance, roadworthiness or other locally required records.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Review status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Draft, submitted, under review, more information required, approved, rejected, expired or suspended.</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 rider without the required approved status cannot go online or accept jobs. Expired required documents trigger an alert and block new assignments based on policy.</w:t>
            </w:r>
          </w:p>
        </w:tc>
      </w:tr>
    </w:tbl>
    <w:p>
      <w:pPr>
        <w:spacing w:after="0"/>
      </w:pPr>
    </w:p>
    <w:p>
      <w:pPr>
        <w:pStyle w:val="Heading2"/>
        <w:keepNext/>
      </w:pPr>
      <w:r>
        <w:t>3.3 Screen RID-02, availability and job offer</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Availability</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Online/offline toggle with clear background-location disclosure and permission state.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Offer summary</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Pickup and drop-off area, distance, parcel summary, estimated time, expected earnings, service deadline and offer expiry.</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Actions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 reject with optional configured reason, view full job detail.</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Rules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Offer is bound to a unique offer ID and expiry timestamp. Accept uses an atomic assignment operation. A stale or already assigned offer returns a conflict response.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When two riders attempt the same offer, at most one wins. The losing rider receives a clear message and returns to available jobs.</w:t>
            </w:r>
          </w:p>
        </w:tc>
      </w:tr>
    </w:tbl>
    <w:p>
      <w:pPr>
        <w:spacing w:after="0"/>
      </w:pPr>
    </w:p>
    <w:p>
      <w:pPr>
        <w:pStyle w:val="Heading2"/>
        <w:keepNext/>
      </w:pPr>
      <w:r>
        <w:t>3.4 Screen RID-03, collection workflow</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Navigation</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Open supported navigation app or in-app map. Recalculate route after destination change.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Arrival</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Record arrival event server-side. Apply configurable geofence tolerance as supporting evidence, not the sole proof of arrival.</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Collection check</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Confirm parcel count/category and capture collection OTP or barcode where enabled.</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Exceptions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Parcel missing, wrong parcel, unsafe pickup, customer unavailable, prohibited goods or damaged parcel.</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The rider cannot mark a parcel collected before the order is assigned to them and the required collection checks pass.</w:t>
            </w:r>
          </w:p>
        </w:tc>
      </w:tr>
    </w:tbl>
    <w:p>
      <w:pPr>
        <w:spacing w:after="0"/>
      </w:pPr>
    </w:p>
    <w:p>
      <w:pPr>
        <w:pStyle w:val="Heading2"/>
        <w:keepNext/>
      </w:pPr>
      <w:r>
        <w:t>3.5 Screen RID-04, active delivery</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Status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Collected, in transit, arrived at destination, delivered, failed or needs support.</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Navigation</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Current destination, route summary and a clear handoff to mapping application.</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Communication</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Customer contact through masked call or in-app message where supported.</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Location</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Send timestamped coordinates, accuracy and trip/order reference while actively working. Stop active-job tracking once allowed by policy.</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Offline</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Queue eligible non-financial events with unique event IDs. Show pending sync and reconcile with server state before enabling the next step.</w:t>
            </w:r>
          </w:p>
        </w:tc>
      </w:tr>
    </w:tbl>
    <w:p>
      <w:pPr>
        <w:spacing w:after="0"/>
      </w:pPr>
    </w:p>
    <w:p>
      <w:pPr>
        <w:pStyle w:val="Heading2"/>
        <w:keepNext/>
      </w:pPr>
      <w:r>
        <w:t>3.6 Screen RID-05, delivery proof</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Recipient verification</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One-time delivery code or another business-approved verification method.</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Evidence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Photo, signature or recipient name where required. Capture timestamp and associated order. Use secure object storage and time-limited access.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Failure flow</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Reason code, notes, attempts made and optional evidence. Request operations guidance for restricted failure reasons.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The backend validates the required proof before transitioning to Delivered. Evidence cannot be overwritten silently. Corrections require an audited exception process.</w:t>
            </w:r>
          </w:p>
        </w:tc>
      </w:tr>
    </w:tbl>
    <w:p>
      <w:pPr>
        <w:spacing w:after="0"/>
      </w:pPr>
    </w:p>
    <w:p>
      <w:pPr>
        <w:pStyle w:val="Heading2"/>
        <w:keepNext/>
      </w:pPr>
      <w:r>
        <w:t>3.7 Screen RID-06, earnings and cash</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Element</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Earnings ledger</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Gross delivery pay, incentive, adjustment, deductions, payout status and period totals.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Cash on delivery</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Show amount collected, amount to remit, previous balance and reconciliation status only if cash collection is enabled.</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Disputes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Submit a payout or delivery-fee dispute with reference and explanation.</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Earnings display comes from the backend ledger, not a client-side calculation. Adjustments require an audit record and authorised actor.</w:t>
            </w:r>
          </w:p>
        </w:tc>
      </w:tr>
    </w:tbl>
    <w:p>
      <w:pPr>
        <w:spacing w:after="0"/>
      </w:pPr>
    </w:p>
    <w:p>
      <w:pPr>
        <w:pStyle w:val="Heading1"/>
        <w:keepNext/>
      </w:pPr>
      <w:r>
        <w:t>4. Angular back office</w:t>
      </w:r>
    </w:p>
    <w:p>
      <w:r>
        <w:t>Build an Angular web application with shared layout, consistent status chips, keyboard-accessible tables, filterable lists and role-specific navigation. Use server-side pagination for large datasets. Staff actions must be auditable.</w:t>
      </w:r>
    </w:p>
    <w:p>
      <w:pPr>
        <w:pStyle w:val="Heading2"/>
        <w:keepNext/>
      </w:pPr>
      <w:r>
        <w:t>4.1 Navigation and roles</w:t>
      </w:r>
    </w:p>
    <w:p>
      <w:r>
        <w:t>Main modules: Dashboard, Orders, Dispatch, Riders, Customers, Merchants, Payments, Support, Reports and Settings. Hide irrelevant navigation items for usability, but enforce every permission on the server as well.</w:t>
      </w:r>
    </w:p>
    <w:p>
      <w:pPr>
        <w:pStyle w:val="Heading2"/>
        <w:keepNext/>
      </w:pPr>
      <w:r>
        <w:t>4.2 Screen BO-01, operations dashboard</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Metric cards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Today’s deliveries, unassigned jobs, active jobs, deliveries at risk, failed/cancelled jobs, available riders, revenue and refunds.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Live map</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positions, pickup/drop-off pins and alert markers. Filters for zone, status and rider availability.</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Recent orders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Quick access to unassigned, delayed, failed and high-priority orders.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Time filters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Date/time range, service area and delivery type; show the timezone used.</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Actions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Open order, open dispatch queue, acknowledge alert and assign an eligible rider.</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Metrics show their time window and refresh timestamp. Dashboard totals reconcile to documented definitions and handle empty data.</w:t>
            </w:r>
          </w:p>
        </w:tc>
      </w:tr>
    </w:tbl>
    <w:p>
      <w:pPr>
        <w:spacing w:after="0"/>
      </w:pPr>
    </w:p>
    <w:p>
      <w:pPr>
        <w:pStyle w:val="Heading2"/>
        <w:keepNext/>
      </w:pPr>
      <w:r>
        <w:t>4.3 Screen BO-02, order management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Search</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Order ID, customer, recipient, rider, merchant, phone where authorised and provider transaction reference for finance roles.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Filters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Status, created date, service area, payment state, assigned/unassigned, delivery type and exception reason.</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Order details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Current status, timeline, quote snapshot, price, payment events, rider assignment, location checkpoints and proof references.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Actions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Assign/reassign, cancel, contact, add internal note, open support case and review proof. High-impact actions require a reason.</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Guards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Reject edits that conflict with the current status. Refunds are handled through the payment workflow, not by editing the displayed price.</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Every operator mutation records actor, timestamp, before/after summary and reason where required.</w:t>
            </w:r>
          </w:p>
        </w:tc>
      </w:tr>
    </w:tbl>
    <w:p>
      <w:pPr>
        <w:spacing w:after="0"/>
      </w:pPr>
    </w:p>
    <w:p>
      <w:pPr>
        <w:pStyle w:val="Heading2"/>
        <w:keepNext/>
      </w:pPr>
      <w:r>
        <w:t>4.4 Screen BO-03, dispatch control centre</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Queue</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Ready-for-dispatch orders, assignment age, service-zone eligibility and assignment attempts.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panel</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Online status, active job, position freshness, service area, capacity/vehicle compatibility and suspension/document flags.</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Assignment</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Automatic recommendation and manual assignment. Explain why a rider is ineligible.</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Reassignment</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Require a reason, release previous assignment safely and alert affected parties. Do not silently replace a rider after pickup.</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Exceptions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No eligible rider, rider timeout, rider rejection, stale location, customer cancellation and service outage.</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Only one active assignment exists for an order and a rider cannot exceed the configured concurrent-job limit.</w:t>
            </w:r>
          </w:p>
        </w:tc>
      </w:tr>
    </w:tbl>
    <w:p>
      <w:pPr>
        <w:spacing w:after="0"/>
      </w:pPr>
    </w:p>
    <w:p>
      <w:pPr>
        <w:pStyle w:val="Heading2"/>
        <w:keepNext/>
      </w:pPr>
      <w:r>
        <w:t>4.5 Screen BO-04, rider management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List</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Name, phone, onboarding state, verification state, zone, online/active state, rating and open incidents.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Detail</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Documents, expiry dates, motorcycle attributes, assignment history, ratings, support records and audit events.</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Actions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Approve/reject verification, request resubmission, suspend, reinstate and change approved service zones.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Controls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Sensitive documents visible only to authorised roles. Require reason for rejection, suspension and reinstatement.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Every status change is timestamped and linked to an authorised staff account.</w:t>
            </w:r>
          </w:p>
        </w:tc>
      </w:tr>
    </w:tbl>
    <w:p>
      <w:pPr>
        <w:spacing w:after="0"/>
      </w:pPr>
    </w:p>
    <w:p>
      <w:pPr>
        <w:pStyle w:val="Heading2"/>
        <w:keepNext/>
      </w:pPr>
      <w:r>
        <w:t>4.6 Screen BO-05, payments and refunds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Transactions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Internal ID, order ID, provider reference, gross amount, fees, currency, status and timestamps.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Refunds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Full or permitted partial refunds, reason, approval state and provider result.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Reconciliation</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Matched, unmatched, duplicate, pending and disputed provider records.</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Separation of duties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 user who requests a refund above the configured threshold must not approve the same refund.</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Show provider outcome and internal ledger state separately. Failed or pending refunds remain visible and actionable.</w:t>
            </w:r>
          </w:p>
        </w:tc>
      </w:tr>
    </w:tbl>
    <w:p>
      <w:pPr>
        <w:spacing w:after="0"/>
      </w:pPr>
    </w:p>
    <w:p>
      <w:pPr>
        <w:pStyle w:val="Heading2"/>
        <w:keepNext/>
      </w:pPr>
      <w:r>
        <w:t>4.7 Screen BO-06, pricing and service areas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Pricing rules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Base fee, distance bands, minimum fare, waiting time, scheduled delivery fee, permitted surcharges, discounts and tax treatment.</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Eligibility</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Service polygons, operating hours, parcel restrictions, vehicle limits and excluded zones.</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Versioning</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Version each published configuration. Existing orders retain the accepted quote snapshot.</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Change control</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Preview changes, validate values, require appropriate approval and schedule effective time.</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A configuration change does not silently recalculate an already accepted quote. Every published change has an audit trail.</w:t>
            </w:r>
          </w:p>
        </w:tc>
      </w:tr>
    </w:tbl>
    <w:p>
      <w:pPr>
        <w:spacing w:after="0"/>
      </w:pPr>
    </w:p>
    <w:p>
      <w:pPr>
        <w:pStyle w:val="Heading2"/>
        <w:keepNext/>
      </w:pPr>
      <w:r>
        <w:t>4.8 Screen BO-07, support and reporting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820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Requirement</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Support cases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Case ID, order, category, severity, owner, status, internal notes, customer-visible response and resolution code.</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Reports</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Deliveries by period/zone, completion and cancellation rates, dispatch time, on-time rate, payment reconciliation and rider utilisation.</w:t>
            </w:r>
          </w:p>
        </w:tc>
      </w:tr>
      <w:tr>
        <w:trPr>
          <w:cantSplit/>
        </w:trPr>
        <w:tc>
          <w:tcPr>
            <w:tcW w:type="dxa" w:w="1728"/>
            <w:vAlign w:val="center"/>
            <w:tcMar>
              <w:top w:w="80" w:type="dxa"/>
              <w:start w:w="95" w:type="dxa"/>
              <w:bottom w:w="80" w:type="dxa"/>
              <w:end w:w="95" w:type="dxa"/>
            </w:tcMar>
          </w:tcPr>
          <w:p>
            <w:pPr>
              <w:spacing w:after="0" w:line="240" w:lineRule="auto"/>
            </w:pPr>
            <w:r/>
            <w:r>
              <w:rPr>
                <w:rFonts w:ascii="Aptos" w:hAnsi="Aptos" w:eastAsia="Aptos"/>
                <w:b w:val="0"/>
                <w:color w:val="1F2937"/>
                <w:sz w:val="16"/>
              </w:rPr>
              <w:t>Exports</w:t>
            </w:r>
          </w:p>
        </w:tc>
        <w:tc>
          <w:tcPr>
            <w:tcW w:type="dxa" w:w="8208"/>
            <w:vAlign w:val="center"/>
            <w:tcMar>
              <w:top w:w="80" w:type="dxa"/>
              <w:start w:w="95" w:type="dxa"/>
              <w:bottom w:w="80" w:type="dxa"/>
              <w:end w:w="95" w:type="dxa"/>
            </w:tcMar>
          </w:tcPr>
          <w:p>
            <w:pPr>
              <w:spacing w:after="0" w:line="240" w:lineRule="auto"/>
            </w:pPr>
            <w:r/>
            <w:r>
              <w:rPr>
                <w:rFonts w:ascii="Aptos" w:hAnsi="Aptos" w:eastAsia="Aptos"/>
                <w:b w:val="0"/>
                <w:color w:val="1F2937"/>
                <w:sz w:val="16"/>
              </w:rPr>
              <w:t>Permission-checked CSV export, logged user, time, filters and record count. Apply data minimisation.</w:t>
            </w:r>
          </w:p>
        </w:tc>
      </w:tr>
      <w:tr>
        <w:trPr>
          <w:cantSplit/>
        </w:trPr>
        <w:tc>
          <w:tcPr>
            <w:tcW w:type="dxa" w:w="172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Acceptance</w:t>
            </w:r>
          </w:p>
        </w:tc>
        <w:tc>
          <w:tcPr>
            <w:tcW w:type="dxa" w:w="820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Report definitions are documented. Exports do not expose personal data beyond the user’s authorised scope.</w:t>
            </w:r>
          </w:p>
        </w:tc>
      </w:tr>
    </w:tbl>
    <w:p>
      <w:pPr>
        <w:spacing w:after="0"/>
      </w:pPr>
    </w:p>
    <w:p>
      <w:pPr>
        <w:pStyle w:val="Heading2"/>
        <w:keepNext/>
      </w:pPr>
      <w:r>
        <w:t>4.9 Merchant portal, phase 2</w:t>
      </w:r>
    </w:p>
    <w:p>
      <w:r>
        <w:t>Build merchant functions as a route/module within the Angular application or a separately deployed Angular application sharing a design system. Support business accounts, branch locations, bulk bookings, contract pricing, business users, invoices, webhooks and API credentials. Enforce tenant scoping on every query and command.</w:t>
      </w:r>
    </w:p>
    <w:p>
      <w:pPr>
        <w:pStyle w:val="Heading1"/>
        <w:keepNext/>
      </w:pPr>
      <w:r>
        <w:t>5. Order lifecycle and business rules</w:t>
      </w:r>
    </w:p>
    <w:p>
      <w:pPr>
        <w:pStyle w:val="Heading2"/>
        <w:keepNext/>
      </w:pPr>
      <w:r>
        <w:t>5.1 Order state model</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088"/>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State</w:t>
            </w:r>
          </w:p>
        </w:tc>
        <w:tc>
          <w:tcPr>
            <w:tcW w:type="dxa" w:w="309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Meaning</w:t>
            </w:r>
          </w:p>
        </w:tc>
        <w:tc>
          <w:tcPr>
            <w:tcW w:type="dxa" w:w="475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Allowed next states, subject to policy</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Draft</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User is building a booking.</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Quoted, Cancelled</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Quoted</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 time-limited pricing quote exists.</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AwaitingPayment, ReadyForDispatch, Cancelled, Expired</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AwaitingPayment</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Payment or payment authorisation is pending.</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ReadyForDispatch, Cancelled, Expired</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ReadyForDispatch</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Payment condition is satisfied and order is eligible.</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Assigned, Cancelled, Expired</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Assigned</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A rider has accepted or has been assigned.</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RiderEnRouteToPickup, ReadyForDispatch, Cancelled</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RiderEnRouteToPickup</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is travelling to collection.</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ArrivedAtPickup, Failed, Cancelled subject to policy</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ArrivedAtPickup</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 records arrival.</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Collected, Failed, Cancelled subject to policy</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Collected</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has taken custody of the parcel.</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InTransit, Failed</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InTransit</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Parcel is moving to drop-off.</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ArrivedAtDropoff, Failed</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ArrivedAtDropoff</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Rider records arrival at destination.</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Delivered, Failed</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Delivered</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Completion checks and evidence passed.</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No normal transitions; audited correction only</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Failed</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Delivery could not be completed.</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Review/exception workflow, no silent reopening</w:t>
            </w:r>
          </w:p>
        </w:tc>
      </w:tr>
      <w:tr>
        <w:trPr>
          <w:cantSplit/>
        </w:trPr>
        <w:tc>
          <w:tcPr>
            <w:tcW w:type="dxa" w:w="2088"/>
            <w:vAlign w:val="center"/>
            <w:tcMar>
              <w:top w:w="80" w:type="dxa"/>
              <w:start w:w="95" w:type="dxa"/>
              <w:bottom w:w="80" w:type="dxa"/>
              <w:end w:w="95" w:type="dxa"/>
            </w:tcMar>
          </w:tcPr>
          <w:p>
            <w:pPr>
              <w:spacing w:after="0" w:line="240" w:lineRule="auto"/>
            </w:pPr>
            <w:r/>
            <w:r>
              <w:rPr>
                <w:rFonts w:ascii="Aptos" w:hAnsi="Aptos" w:eastAsia="Aptos"/>
                <w:b w:val="0"/>
                <w:color w:val="1F2937"/>
                <w:sz w:val="16"/>
              </w:rPr>
              <w:t>Cancelled</w:t>
            </w:r>
          </w:p>
        </w:tc>
        <w:tc>
          <w:tcPr>
            <w:tcW w:type="dxa" w:w="3096"/>
            <w:vAlign w:val="center"/>
            <w:tcMar>
              <w:top w:w="80" w:type="dxa"/>
              <w:start w:w="95" w:type="dxa"/>
              <w:bottom w:w="80" w:type="dxa"/>
              <w:end w:w="95" w:type="dxa"/>
            </w:tcMar>
          </w:tcPr>
          <w:p>
            <w:pPr>
              <w:spacing w:after="0" w:line="240" w:lineRule="auto"/>
            </w:pPr>
            <w:r/>
            <w:r>
              <w:rPr>
                <w:rFonts w:ascii="Aptos" w:hAnsi="Aptos" w:eastAsia="Aptos"/>
                <w:b w:val="0"/>
                <w:color w:val="1F2937"/>
                <w:sz w:val="16"/>
              </w:rPr>
              <w:t>Order cancelled under policy.</w:t>
            </w:r>
          </w:p>
        </w:tc>
        <w:tc>
          <w:tcPr>
            <w:tcW w:type="dxa" w:w="4752"/>
            <w:vAlign w:val="center"/>
            <w:tcMar>
              <w:top w:w="80" w:type="dxa"/>
              <w:start w:w="95" w:type="dxa"/>
              <w:bottom w:w="80" w:type="dxa"/>
              <w:end w:w="95" w:type="dxa"/>
            </w:tcMar>
          </w:tcPr>
          <w:p>
            <w:pPr>
              <w:spacing w:after="0" w:line="240" w:lineRule="auto"/>
            </w:pPr>
            <w:r/>
            <w:r>
              <w:rPr>
                <w:rFonts w:ascii="Aptos" w:hAnsi="Aptos" w:eastAsia="Aptos"/>
                <w:b w:val="0"/>
                <w:color w:val="1F2937"/>
                <w:sz w:val="16"/>
              </w:rPr>
              <w:t>No normal transitions</w:t>
            </w:r>
          </w:p>
        </w:tc>
      </w:tr>
      <w:tr>
        <w:trPr>
          <w:cantSplit/>
        </w:trPr>
        <w:tc>
          <w:tcPr>
            <w:tcW w:type="dxa" w:w="2088"/>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Expired</w:t>
            </w:r>
          </w:p>
        </w:tc>
        <w:tc>
          <w:tcPr>
            <w:tcW w:type="dxa" w:w="309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Booking or offer expired.</w:t>
            </w:r>
          </w:p>
        </w:tc>
        <w:tc>
          <w:tcPr>
            <w:tcW w:type="dxa" w:w="475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New order/quote required</w:t>
            </w:r>
          </w:p>
        </w:tc>
      </w:tr>
    </w:tbl>
    <w:p>
      <w:pPr>
        <w:spacing w:after="0"/>
      </w:pPr>
    </w:p>
    <w:p>
      <w:pPr>
        <w:pStyle w:val="SmallNote"/>
      </w:pPr>
      <w:r>
        <w:t>Payment status must be a separate state machine, for example Pending, Authorised, Captured, Failed, RefundPending, PartiallyRefunded, Refunded and Disputed. Do not overload the order status with payment lifecycle details.</w:t>
      </w:r>
    </w:p>
    <w:p>
      <w:pPr>
        <w:pStyle w:val="Heading2"/>
        <w:keepNext/>
      </w:pPr>
      <w:r>
        <w:t>5.2 Core business rules</w:t>
      </w:r>
    </w:p>
    <w:p>
      <w:pPr>
        <w:pStyle w:val="ListBullet"/>
        <w:spacing w:after="40"/>
      </w:pPr>
      <w:r>
        <w:t>Each accepted quote has a unique identifier, expiry time, pricing version and immutable price breakdown.</w:t>
      </w:r>
    </w:p>
    <w:p>
      <w:pPr>
        <w:pStyle w:val="ListBullet"/>
        <w:spacing w:after="40"/>
      </w:pPr>
      <w:r>
        <w:t>Each order uses an idempotency key on create and other retriable commands that cause side effects.</w:t>
      </w:r>
    </w:p>
    <w:p>
      <w:pPr>
        <w:pStyle w:val="ListBullet"/>
        <w:spacing w:after="40"/>
      </w:pPr>
      <w:r>
        <w:t>Only verified, active riders with valid required documents and appropriate vehicle capacity receive eligible jobs.</w:t>
      </w:r>
    </w:p>
    <w:p>
      <w:pPr>
        <w:pStyle w:val="ListBullet"/>
        <w:spacing w:after="40"/>
      </w:pPr>
      <w:r>
        <w:t>Assignment uses a concurrency-safe operation. Do not rely on a client-side check to prevent double assignment.</w:t>
      </w:r>
    </w:p>
    <w:p>
      <w:pPr>
        <w:pStyle w:val="ListBullet"/>
        <w:spacing w:after="40"/>
      </w:pPr>
      <w:r>
        <w:t>Customer cancellations after assignment follow the configured fee and dispatch policy. After collection, cancellation becomes an exception workflow.</w:t>
      </w:r>
    </w:p>
    <w:p>
      <w:pPr>
        <w:pStyle w:val="ListBullet"/>
        <w:spacing w:after="40"/>
      </w:pPr>
      <w:r>
        <w:t>Delivery completion requires the configured recipient verification and evidence. A client request alone does not prove delivery.</w:t>
      </w:r>
    </w:p>
    <w:p>
      <w:pPr>
        <w:pStyle w:val="ListBullet"/>
        <w:spacing w:after="40"/>
      </w:pPr>
      <w:r>
        <w:t>Location data must include timestamp and accuracy. Older readings are marked stale and are not shown as live position.</w:t>
      </w:r>
    </w:p>
    <w:p>
      <w:pPr>
        <w:pStyle w:val="ListBullet"/>
        <w:spacing w:after="40"/>
      </w:pPr>
      <w:r>
        <w:t>Payment status is driven by verified provider callbacks, server-to-server confirmation and reconciliation.</w:t>
      </w:r>
    </w:p>
    <w:p>
      <w:pPr>
        <w:pStyle w:val="ListBullet"/>
        <w:spacing w:after="40"/>
      </w:pPr>
      <w:r>
        <w:t>Every high-impact administrative action records actor, action, target, timestamp, outcome and reason.</w:t>
      </w:r>
    </w:p>
    <w:p>
      <w:pPr>
        <w:pStyle w:val="ListBullet"/>
        <w:spacing w:after="40"/>
      </w:pPr>
      <w:r>
        <w:t>Prohibited-item, weight, dimensions, cash collection and service-area policies are configurable and versioned.</w:t>
      </w:r>
    </w:p>
    <w:p>
      <w:pPr>
        <w:pStyle w:val="Heading2"/>
        <w:keepNext/>
      </w:pPr>
      <w:r>
        <w:t>5.3 Cancellation and failure reason codes</w:t>
      </w:r>
    </w:p>
    <w:p>
      <w:r>
        <w:t>Define controlled reason codes such as CUSTOMER_CHANGED_MIND, WRONG_ADDRESS, RECIPIENT_UNAVAILABLE, RIDER_UNAVAILABLE, PARCEL_NOT_READY, PROHIBITED_ITEM, UNSAFE_LOCATION, VEHICLE_ISSUE, PAYMENT_FAILED, WEATHER_OR_ROAD_CLOSURE and OTHER_WITH_NOTE. Keep customer-facing wording separate from internal codes.</w:t>
      </w:r>
    </w:p>
    <w:p>
      <w:pPr>
        <w:pStyle w:val="Heading1"/>
        <w:keepNext/>
      </w:pPr>
      <w:r>
        <w:t>6. Backend architecture and service boundaries</w:t>
      </w:r>
    </w:p>
    <w:p>
      <w:pPr>
        <w:jc w:val="center"/>
      </w:pPr>
      <w:r>
        <w:drawing>
          <wp:inline xmlns:a="http://schemas.openxmlformats.org/drawingml/2006/main" xmlns:pic="http://schemas.openxmlformats.org/drawingml/2006/picture">
            <wp:extent cx="6309360" cy="4206240"/>
            <wp:docPr id="2" name="Picture 2"/>
            <wp:cNvGraphicFramePr>
              <a:graphicFrameLocks noChangeAspect="1"/>
            </wp:cNvGraphicFramePr>
            <a:graphic>
              <a:graphicData uri="http://schemas.openxmlformats.org/drawingml/2006/picture">
                <pic:pic>
                  <pic:nvPicPr>
                    <pic:cNvPr id="0" name="a_clean_high_resolution_infographic_style_produc.png"/>
                    <pic:cNvPicPr/>
                  </pic:nvPicPr>
                  <pic:blipFill>
                    <a:blip r:embed="rId12"/>
                    <a:stretch>
                      <a:fillRect/>
                    </a:stretch>
                  </pic:blipFill>
                  <pic:spPr>
                    <a:xfrm>
                      <a:off x="0" y="0"/>
                      <a:ext cx="6309360" cy="4206240"/>
                    </a:xfrm>
                    <a:prstGeom prst="rect"/>
                  </pic:spPr>
                </pic:pic>
              </a:graphicData>
            </a:graphic>
          </wp:inline>
        </w:drawing>
      </w:r>
    </w:p>
    <w:p>
      <w:pPr>
        <w:pStyle w:val="SmallNote"/>
      </w:pPr>
      <w:r>
        <w:t>Figure 1. UX and architecture concept board. Use as a visual reference, not as a source of exact UI copy or production code.</w:t>
      </w:r>
    </w:p>
    <w:p>
      <w:pPr>
        <w:pStyle w:val="Heading2"/>
        <w:keepNext/>
      </w:pPr>
      <w:r>
        <w:t>6.1 Recommended service boundaries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51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Service</w:t>
            </w:r>
          </w:p>
        </w:tc>
        <w:tc>
          <w:tcPr>
            <w:tcW w:type="dxa" w:w="230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Owns</w:t>
            </w:r>
          </w:p>
        </w:tc>
        <w:tc>
          <w:tcPr>
            <w:tcW w:type="dxa" w:w="266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Representative commands/queries</w:t>
            </w:r>
          </w:p>
        </w:tc>
        <w:tc>
          <w:tcPr>
            <w:tcW w:type="dxa" w:w="345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Important rules</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Identity/Profile</w:t>
            </w:r>
          </w:p>
        </w:tc>
        <w:tc>
          <w:tcPr>
            <w:tcW w:type="dxa" w:w="2304"/>
            <w:vAlign w:val="center"/>
            <w:tcMar>
              <w:top w:w="80" w:type="dxa"/>
              <w:start w:w="95" w:type="dxa"/>
              <w:bottom w:w="80" w:type="dxa"/>
              <w:end w:w="95" w:type="dxa"/>
            </w:tcMar>
          </w:tcPr>
          <w:p>
            <w:pPr>
              <w:spacing w:after="0" w:line="240" w:lineRule="auto"/>
            </w:pPr>
            <w:r/>
            <w:r>
              <w:rPr>
                <w:rFonts w:ascii="Aptos" w:hAnsi="Aptos" w:eastAsia="Aptos"/>
                <w:b w:val="0"/>
                <w:color w:val="1F2937"/>
                <w:sz w:val="15"/>
              </w:rPr>
              <w:t>Application profile reference, communication preferences, account status. Authentication credentials remain with identity provider.</w:t>
            </w:r>
          </w:p>
        </w:tc>
        <w:tc>
          <w:tcPr>
            <w:tcW w:type="dxa" w:w="2664"/>
            <w:vAlign w:val="center"/>
            <w:tcMar>
              <w:top w:w="80" w:type="dxa"/>
              <w:start w:w="95" w:type="dxa"/>
              <w:bottom w:w="80" w:type="dxa"/>
              <w:end w:w="95" w:type="dxa"/>
            </w:tcMar>
          </w:tcPr>
          <w:p>
            <w:pPr>
              <w:spacing w:after="0" w:line="240" w:lineRule="auto"/>
            </w:pPr>
            <w:r/>
            <w:r>
              <w:rPr>
                <w:rFonts w:ascii="Aptos" w:hAnsi="Aptos" w:eastAsia="Aptos"/>
                <w:b w:val="0"/>
                <w:color w:val="1F2937"/>
                <w:sz w:val="15"/>
              </w:rPr>
              <w:t>Get profile, update profile, manage account state.</w:t>
            </w:r>
          </w:p>
        </w:tc>
        <w:tc>
          <w:tcPr>
            <w:tcW w:type="dxa" w:w="3456"/>
            <w:vAlign w:val="center"/>
            <w:tcMar>
              <w:top w:w="80" w:type="dxa"/>
              <w:start w:w="95" w:type="dxa"/>
              <w:bottom w:w="80" w:type="dxa"/>
              <w:end w:w="95" w:type="dxa"/>
            </w:tcMar>
          </w:tcPr>
          <w:p>
            <w:pPr>
              <w:spacing w:after="0" w:line="240" w:lineRule="auto"/>
            </w:pPr>
            <w:r/>
            <w:r>
              <w:rPr>
                <w:rFonts w:ascii="Aptos" w:hAnsi="Aptos" w:eastAsia="Aptos"/>
                <w:b w:val="0"/>
                <w:color w:val="1F2937"/>
                <w:sz w:val="15"/>
              </w:rPr>
              <w:t>Never store passwords in the application database when a managed identity provider is used.</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Orders</w:t>
            </w:r>
          </w:p>
        </w:tc>
        <w:tc>
          <w:tcPr>
            <w:tcW w:type="dxa" w:w="23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Order aggregate, addresses, parcel info, lifecycle, quote reference, timeline.</w:t>
            </w:r>
          </w:p>
        </w:tc>
        <w:tc>
          <w:tcPr>
            <w:tcW w:type="dxa" w:w="26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Create order, read order, cancel, apply valid transition.</w:t>
            </w:r>
          </w:p>
        </w:tc>
        <w:tc>
          <w:tcPr>
            <w:tcW w:type="dxa" w:w="34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Owns legal order-state transitions and order idempotency.</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Pricing</w:t>
            </w:r>
          </w:p>
        </w:tc>
        <w:tc>
          <w:tcPr>
            <w:tcW w:type="dxa" w:w="2304"/>
            <w:vAlign w:val="center"/>
            <w:tcMar>
              <w:top w:w="80" w:type="dxa"/>
              <w:start w:w="95" w:type="dxa"/>
              <w:bottom w:w="80" w:type="dxa"/>
              <w:end w:w="95" w:type="dxa"/>
            </w:tcMar>
          </w:tcPr>
          <w:p>
            <w:pPr>
              <w:spacing w:after="0" w:line="240" w:lineRule="auto"/>
            </w:pPr>
            <w:r/>
            <w:r>
              <w:rPr>
                <w:rFonts w:ascii="Aptos" w:hAnsi="Aptos" w:eastAsia="Aptos"/>
                <w:b w:val="0"/>
                <w:color w:val="1F2937"/>
                <w:sz w:val="15"/>
              </w:rPr>
              <w:t>Pricing rules, versions, quote and price breakdown.</w:t>
            </w:r>
          </w:p>
        </w:tc>
        <w:tc>
          <w:tcPr>
            <w:tcW w:type="dxa" w:w="2664"/>
            <w:vAlign w:val="center"/>
            <w:tcMar>
              <w:top w:w="80" w:type="dxa"/>
              <w:start w:w="95" w:type="dxa"/>
              <w:bottom w:w="80" w:type="dxa"/>
              <w:end w:w="95" w:type="dxa"/>
            </w:tcMar>
          </w:tcPr>
          <w:p>
            <w:pPr>
              <w:spacing w:after="0" w:line="240" w:lineRule="auto"/>
            </w:pPr>
            <w:r/>
            <w:r>
              <w:rPr>
                <w:rFonts w:ascii="Aptos" w:hAnsi="Aptos" w:eastAsia="Aptos"/>
                <w:b w:val="0"/>
                <w:color w:val="1F2937"/>
                <w:sz w:val="15"/>
              </w:rPr>
              <w:t>Create quote, validate quote, publish pricing version.</w:t>
            </w:r>
          </w:p>
        </w:tc>
        <w:tc>
          <w:tcPr>
            <w:tcW w:type="dxa" w:w="3456"/>
            <w:vAlign w:val="center"/>
            <w:tcMar>
              <w:top w:w="80" w:type="dxa"/>
              <w:start w:w="95" w:type="dxa"/>
              <w:bottom w:w="80" w:type="dxa"/>
              <w:end w:w="95" w:type="dxa"/>
            </w:tcMar>
          </w:tcPr>
          <w:p>
            <w:pPr>
              <w:spacing w:after="0" w:line="240" w:lineRule="auto"/>
            </w:pPr>
            <w:r/>
            <w:r>
              <w:rPr>
                <w:rFonts w:ascii="Aptos" w:hAnsi="Aptos" w:eastAsia="Aptos"/>
                <w:b w:val="0"/>
                <w:color w:val="1F2937"/>
                <w:sz w:val="15"/>
              </w:rPr>
              <w:t>Quote snapshot is immutable after acceptance.</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Dispatch</w:t>
            </w:r>
          </w:p>
        </w:tc>
        <w:tc>
          <w:tcPr>
            <w:tcW w:type="dxa" w:w="23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Offers, assignment attempts, rider-order allocation and dispatch policy.</w:t>
            </w:r>
          </w:p>
        </w:tc>
        <w:tc>
          <w:tcPr>
            <w:tcW w:type="dxa" w:w="26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Find candidates, offer job, accept/reject, reassign.</w:t>
            </w:r>
          </w:p>
        </w:tc>
        <w:tc>
          <w:tcPr>
            <w:tcW w:type="dxa" w:w="34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Atomic assignment and concurrency protection.</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Riders</w:t>
            </w:r>
          </w:p>
        </w:tc>
        <w:tc>
          <w:tcPr>
            <w:tcW w:type="dxa" w:w="2304"/>
            <w:vAlign w:val="center"/>
            <w:tcMar>
              <w:top w:w="80" w:type="dxa"/>
              <w:start w:w="95" w:type="dxa"/>
              <w:bottom w:w="80" w:type="dxa"/>
              <w:end w:w="95" w:type="dxa"/>
            </w:tcMar>
          </w:tcPr>
          <w:p>
            <w:pPr>
              <w:spacing w:after="0" w:line="240" w:lineRule="auto"/>
            </w:pPr>
            <w:r/>
            <w:r>
              <w:rPr>
                <w:rFonts w:ascii="Aptos" w:hAnsi="Aptos" w:eastAsia="Aptos"/>
                <w:b w:val="0"/>
                <w:color w:val="1F2937"/>
                <w:sz w:val="15"/>
              </w:rPr>
              <w:t>Rider profile, documents metadata, motorcycle, eligibility and availability.</w:t>
            </w:r>
          </w:p>
        </w:tc>
        <w:tc>
          <w:tcPr>
            <w:tcW w:type="dxa" w:w="2664"/>
            <w:vAlign w:val="center"/>
            <w:tcMar>
              <w:top w:w="80" w:type="dxa"/>
              <w:start w:w="95" w:type="dxa"/>
              <w:bottom w:w="80" w:type="dxa"/>
              <w:end w:w="95" w:type="dxa"/>
            </w:tcMar>
          </w:tcPr>
          <w:p>
            <w:pPr>
              <w:spacing w:after="0" w:line="240" w:lineRule="auto"/>
            </w:pPr>
            <w:r/>
            <w:r>
              <w:rPr>
                <w:rFonts w:ascii="Aptos" w:hAnsi="Aptos" w:eastAsia="Aptos"/>
                <w:b w:val="0"/>
                <w:color w:val="1F2937"/>
                <w:sz w:val="15"/>
              </w:rPr>
              <w:t>Submit documents, approve, go online, go offline.</w:t>
            </w:r>
          </w:p>
        </w:tc>
        <w:tc>
          <w:tcPr>
            <w:tcW w:type="dxa" w:w="3456"/>
            <w:vAlign w:val="center"/>
            <w:tcMar>
              <w:top w:w="80" w:type="dxa"/>
              <w:start w:w="95" w:type="dxa"/>
              <w:bottom w:w="80" w:type="dxa"/>
              <w:end w:w="95" w:type="dxa"/>
            </w:tcMar>
          </w:tcPr>
          <w:p>
            <w:pPr>
              <w:spacing w:after="0" w:line="240" w:lineRule="auto"/>
            </w:pPr>
            <w:r/>
            <w:r>
              <w:rPr>
                <w:rFonts w:ascii="Aptos" w:hAnsi="Aptos" w:eastAsia="Aptos"/>
                <w:b w:val="0"/>
                <w:color w:val="1F2937"/>
                <w:sz w:val="15"/>
              </w:rPr>
              <w:t>Eligibility is enforced server-side.</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Payments</w:t>
            </w:r>
          </w:p>
        </w:tc>
        <w:tc>
          <w:tcPr>
            <w:tcW w:type="dxa" w:w="23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Payment intent, transaction ledger, provider reference, refund and reconciliation state.</w:t>
            </w:r>
          </w:p>
        </w:tc>
        <w:tc>
          <w:tcPr>
            <w:tcW w:type="dxa" w:w="26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Create intent, verify webhook, refund, reconcile.</w:t>
            </w:r>
          </w:p>
        </w:tc>
        <w:tc>
          <w:tcPr>
            <w:tcW w:type="dxa" w:w="34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Idempotency and signed callback validation.</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Tracking</w:t>
            </w:r>
          </w:p>
        </w:tc>
        <w:tc>
          <w:tcPr>
            <w:tcW w:type="dxa" w:w="2304"/>
            <w:vAlign w:val="center"/>
            <w:tcMar>
              <w:top w:w="80" w:type="dxa"/>
              <w:start w:w="95" w:type="dxa"/>
              <w:bottom w:w="80" w:type="dxa"/>
              <w:end w:w="95" w:type="dxa"/>
            </w:tcMar>
          </w:tcPr>
          <w:p>
            <w:pPr>
              <w:spacing w:after="0" w:line="240" w:lineRule="auto"/>
            </w:pPr>
            <w:r/>
            <w:r>
              <w:rPr>
                <w:rFonts w:ascii="Aptos" w:hAnsi="Aptos" w:eastAsia="Aptos"/>
                <w:b w:val="0"/>
                <w:color w:val="1F2937"/>
                <w:sz w:val="15"/>
              </w:rPr>
              <w:t>Current location, location freshness, tracking permissions and trip checkpoints.</w:t>
            </w:r>
          </w:p>
        </w:tc>
        <w:tc>
          <w:tcPr>
            <w:tcW w:type="dxa" w:w="2664"/>
            <w:vAlign w:val="center"/>
            <w:tcMar>
              <w:top w:w="80" w:type="dxa"/>
              <w:start w:w="95" w:type="dxa"/>
              <w:bottom w:w="80" w:type="dxa"/>
              <w:end w:w="95" w:type="dxa"/>
            </w:tcMar>
          </w:tcPr>
          <w:p>
            <w:pPr>
              <w:spacing w:after="0" w:line="240" w:lineRule="auto"/>
            </w:pPr>
            <w:r/>
            <w:r>
              <w:rPr>
                <w:rFonts w:ascii="Aptos" w:hAnsi="Aptos" w:eastAsia="Aptos"/>
                <w:b w:val="0"/>
                <w:color w:val="1F2937"/>
                <w:sz w:val="15"/>
              </w:rPr>
              <w:t>Update location, read authorised tracking view.</w:t>
            </w:r>
          </w:p>
        </w:tc>
        <w:tc>
          <w:tcPr>
            <w:tcW w:type="dxa" w:w="3456"/>
            <w:vAlign w:val="center"/>
            <w:tcMar>
              <w:top w:w="80" w:type="dxa"/>
              <w:start w:w="95" w:type="dxa"/>
              <w:bottom w:w="80" w:type="dxa"/>
              <w:end w:w="95" w:type="dxa"/>
            </w:tcMar>
          </w:tcPr>
          <w:p>
            <w:pPr>
              <w:spacing w:after="0" w:line="240" w:lineRule="auto"/>
            </w:pPr>
            <w:r/>
            <w:r>
              <w:rPr>
                <w:rFonts w:ascii="Aptos" w:hAnsi="Aptos" w:eastAsia="Aptos"/>
                <w:b w:val="0"/>
                <w:color w:val="1F2937"/>
                <w:sz w:val="15"/>
              </w:rPr>
              <w:t>Short-lived location cache; restricted historical access.</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Notifications</w:t>
            </w:r>
          </w:p>
        </w:tc>
        <w:tc>
          <w:tcPr>
            <w:tcW w:type="dxa" w:w="23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Templates, preferences, provider message IDs, retries and delivery receipts.</w:t>
            </w:r>
          </w:p>
        </w:tc>
        <w:tc>
          <w:tcPr>
            <w:tcW w:type="dxa" w:w="26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Send push/SMS/email, process receipt.</w:t>
            </w:r>
          </w:p>
        </w:tc>
        <w:tc>
          <w:tcPr>
            <w:tcW w:type="dxa" w:w="34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Asynchronous processing and bounded retries.</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Support</w:t>
            </w:r>
          </w:p>
        </w:tc>
        <w:tc>
          <w:tcPr>
            <w:tcW w:type="dxa" w:w="2304"/>
            <w:vAlign w:val="center"/>
            <w:tcMar>
              <w:top w:w="80" w:type="dxa"/>
              <w:start w:w="95" w:type="dxa"/>
              <w:bottom w:w="80" w:type="dxa"/>
              <w:end w:w="95" w:type="dxa"/>
            </w:tcMar>
          </w:tcPr>
          <w:p>
            <w:pPr>
              <w:spacing w:after="0" w:line="240" w:lineRule="auto"/>
            </w:pPr>
            <w:r/>
            <w:r>
              <w:rPr>
                <w:rFonts w:ascii="Aptos" w:hAnsi="Aptos" w:eastAsia="Aptos"/>
                <w:b w:val="0"/>
                <w:color w:val="1F2937"/>
                <w:sz w:val="15"/>
              </w:rPr>
              <w:t>Cases, contact history, resolution codes and internal notes.</w:t>
            </w:r>
          </w:p>
        </w:tc>
        <w:tc>
          <w:tcPr>
            <w:tcW w:type="dxa" w:w="2664"/>
            <w:vAlign w:val="center"/>
            <w:tcMar>
              <w:top w:w="80" w:type="dxa"/>
              <w:start w:w="95" w:type="dxa"/>
              <w:bottom w:w="80" w:type="dxa"/>
              <w:end w:w="95" w:type="dxa"/>
            </w:tcMar>
          </w:tcPr>
          <w:p>
            <w:pPr>
              <w:spacing w:after="0" w:line="240" w:lineRule="auto"/>
            </w:pPr>
            <w:r/>
            <w:r>
              <w:rPr>
                <w:rFonts w:ascii="Aptos" w:hAnsi="Aptos" w:eastAsia="Aptos"/>
                <w:b w:val="0"/>
                <w:color w:val="1F2937"/>
                <w:sz w:val="15"/>
              </w:rPr>
              <w:t>Open case, assign case, resolve case.</w:t>
            </w:r>
          </w:p>
        </w:tc>
        <w:tc>
          <w:tcPr>
            <w:tcW w:type="dxa" w:w="3456"/>
            <w:vAlign w:val="center"/>
            <w:tcMar>
              <w:top w:w="80" w:type="dxa"/>
              <w:start w:w="95" w:type="dxa"/>
              <w:bottom w:w="80" w:type="dxa"/>
              <w:end w:w="95" w:type="dxa"/>
            </w:tcMar>
          </w:tcPr>
          <w:p>
            <w:pPr>
              <w:spacing w:after="0" w:line="240" w:lineRule="auto"/>
            </w:pPr>
            <w:r/>
            <w:r>
              <w:rPr>
                <w:rFonts w:ascii="Aptos" w:hAnsi="Aptos" w:eastAsia="Aptos"/>
                <w:b w:val="0"/>
                <w:color w:val="1F2937"/>
                <w:sz w:val="15"/>
              </w:rPr>
              <w:t>Separate internal and customer-visible notes.</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Reporting</w:t>
            </w:r>
          </w:p>
        </w:tc>
        <w:tc>
          <w:tcPr>
            <w:tcW w:type="dxa" w:w="23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Read-optimised aggregates and export jobs.</w:t>
            </w:r>
          </w:p>
        </w:tc>
        <w:tc>
          <w:tcPr>
            <w:tcW w:type="dxa" w:w="26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Get dashboard metrics, generate export.</w:t>
            </w:r>
          </w:p>
        </w:tc>
        <w:tc>
          <w:tcPr>
            <w:tcW w:type="dxa" w:w="34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Do not let reports query every service database directly.</w:t>
            </w:r>
          </w:p>
        </w:tc>
      </w:tr>
    </w:tbl>
    <w:p>
      <w:pPr>
        <w:spacing w:after="0"/>
      </w:pPr>
    </w:p>
    <w:p>
      <w:pPr>
        <w:pStyle w:val="Heading2"/>
        <w:keepNext/>
      </w:pPr>
      <w:r>
        <w:t>6.2 Communication pattern</w:t>
      </w:r>
    </w:p>
    <w:p>
      <w:r>
        <w:t>Use synchronous HTTP for user-facing queries and commands requiring an immediate result. Use asynchronous events for cross-service reactions such as order ready for dispatch, rider assigned, delivery completed, notification requested and payment status changed. Do not call every service in a long synchronous chain during booking.</w:t>
      </w:r>
    </w:p>
    <w:p>
      <w:pPr>
        <w:pStyle w:val="Heading2"/>
        <w:keepNext/>
      </w:pPr>
      <w:r>
        <w:t>6.3 Event envelope</w:t>
      </w:r>
    </w:p>
    <w:p>
      <w:pPr>
        <w:pStyle w:val="CodeText"/>
        <w:shd w:fill="F1F5F9"/>
      </w:pPr>
      <w:r>
        <w:t>{</w:t>
      </w:r>
    </w:p>
    <w:p>
      <w:pPr>
        <w:pStyle w:val="CodeText"/>
        <w:shd w:fill="F1F5F9"/>
      </w:pPr>
      <w:r>
        <w:t xml:space="preserve">  "eventId": "uuid",</w:t>
      </w:r>
    </w:p>
    <w:p>
      <w:pPr>
        <w:pStyle w:val="CodeText"/>
        <w:shd w:fill="F1F5F9"/>
      </w:pPr>
      <w:r>
        <w:t xml:space="preserve">  "eventType": "delivery.order.ready-for-dispatch.v1",</w:t>
      </w:r>
    </w:p>
    <w:p>
      <w:pPr>
        <w:pStyle w:val="CodeText"/>
        <w:shd w:fill="F1F5F9"/>
      </w:pPr>
      <w:r>
        <w:t xml:space="preserve">  "occurredAtUtc": "2026-10-22T16:30:00Z",</w:t>
      </w:r>
    </w:p>
    <w:p>
      <w:pPr>
        <w:pStyle w:val="CodeText"/>
        <w:shd w:fill="F1F5F9"/>
      </w:pPr>
      <w:r>
        <w:t xml:space="preserve">  "aggregateId": "order-id",</w:t>
      </w:r>
    </w:p>
    <w:p>
      <w:pPr>
        <w:pStyle w:val="CodeText"/>
        <w:shd w:fill="F1F5F9"/>
      </w:pPr>
      <w:r>
        <w:t xml:space="preserve">  "aggregateVersion": 4,</w:t>
      </w:r>
    </w:p>
    <w:p>
      <w:pPr>
        <w:pStyle w:val="CodeText"/>
        <w:shd w:fill="F1F5F9"/>
      </w:pPr>
      <w:r>
        <w:t xml:space="preserve">  "correlationId": "request-correlation-id",</w:t>
      </w:r>
    </w:p>
    <w:p>
      <w:pPr>
        <w:pStyle w:val="CodeText"/>
        <w:shd w:fill="F1F5F9"/>
      </w:pPr>
      <w:r>
        <w:t xml:space="preserve">  "source": "orders-service",</w:t>
      </w:r>
    </w:p>
    <w:p>
      <w:pPr>
        <w:pStyle w:val="CodeText"/>
        <w:shd w:fill="F1F5F9"/>
      </w:pPr>
      <w:r>
        <w:t xml:space="preserve">  "data": {</w:t>
      </w:r>
    </w:p>
    <w:p>
      <w:pPr>
        <w:pStyle w:val="CodeText"/>
        <w:shd w:fill="F1F5F9"/>
      </w:pPr>
      <w:r>
        <w:t xml:space="preserve">    "orderId": "order-id",</w:t>
      </w:r>
    </w:p>
    <w:p>
      <w:pPr>
        <w:pStyle w:val="CodeText"/>
        <w:shd w:fill="F1F5F9"/>
      </w:pPr>
      <w:r>
        <w:t xml:space="preserve">    "serviceAreaId": "area-id",</w:t>
      </w:r>
    </w:p>
    <w:p>
      <w:pPr>
        <w:pStyle w:val="CodeText"/>
        <w:shd w:fill="F1F5F9"/>
      </w:pPr>
      <w:r>
        <w:t xml:space="preserve">    "priority": "standard"</w:t>
      </w:r>
    </w:p>
    <w:p>
      <w:pPr>
        <w:pStyle w:val="CodeText"/>
        <w:shd w:fill="F1F5F9"/>
      </w:pPr>
      <w:r>
        <w:t xml:space="preserve">  }</w:t>
      </w:r>
    </w:p>
    <w:p>
      <w:pPr>
        <w:pStyle w:val="CodeText"/>
        <w:shd w:fill="F1F5F9"/>
      </w:pPr>
      <w:r>
        <w:t>}</w:t>
      </w:r>
    </w:p>
    <w:p>
      <w:r>
        <w:t>Use an outbox table in the same transaction as the business state change. A publisher forwards outbox records to the broker. Consumers store processed event IDs or use equivalent idempotent logic. Define event schema compatibility and dead-letter handling.</w:t>
      </w:r>
    </w:p>
    <w:p>
      <w:pPr>
        <w:pStyle w:val="Heading2"/>
        <w:keepNext/>
      </w:pPr>
      <w:r>
        <w:t>6.4 Data ownership and persistence</w:t>
      </w:r>
    </w:p>
    <w:p>
      <w:pPr>
        <w:pStyle w:val="ListBullet"/>
        <w:spacing w:after="40"/>
      </w:pPr>
      <w:r>
        <w:t>PostgreSQL is the primary transactional database. Use a separate schema or database per service according to the chosen deployment and ownership model. A service must not query another service’s tables.</w:t>
      </w:r>
    </w:p>
    <w:p>
      <w:pPr>
        <w:pStyle w:val="ListBullet"/>
        <w:spacing w:after="40"/>
      </w:pPr>
      <w:r>
        <w:t>Redis stores volatile cache and active location snapshots. It is not the sole source of truth for orders or payments.</w:t>
      </w:r>
    </w:p>
    <w:p>
      <w:pPr>
        <w:pStyle w:val="ListBullet"/>
        <w:spacing w:after="40"/>
      </w:pPr>
      <w:r>
        <w:t>Object storage holds parcel and delivery evidence. Store object references and metadata in the relevant service database. Use private buckets, encryption, access logs and short-lived signed URLs.</w:t>
      </w:r>
    </w:p>
    <w:p>
      <w:pPr>
        <w:pStyle w:val="ListBullet"/>
        <w:spacing w:after="40"/>
      </w:pPr>
      <w:r>
        <w:t>Use UTC timestamps in storage and APIs. Convert to the user’s configured time zone only at the presentation layer.</w:t>
      </w:r>
    </w:p>
    <w:p>
      <w:pPr>
        <w:pStyle w:val="ListBullet"/>
        <w:spacing w:after="40"/>
      </w:pPr>
      <w:r>
        <w:t>Add retention and deletion policies for location history, delivery evidence, support records, payment records and audit logs before launch.</w:t>
      </w:r>
    </w:p>
    <w:p>
      <w:pPr>
        <w:pStyle w:val="Heading1"/>
        <w:keepNext/>
      </w:pPr>
      <w:r>
        <w:t>7. API contract proposal</w:t>
      </w:r>
    </w:p>
    <w:p>
      <w:r>
        <w:t>Prefix APIs with /api/v1. Publish OpenAPI definitions for all external APIs. Return stable error codes and correlation IDs. Use cursor or page-based pagination consistently. This section provides examples for design alignment, not a complete generated API specification.</w:t>
      </w:r>
    </w:p>
    <w:p>
      <w:pPr>
        <w:pStyle w:val="Heading2"/>
        <w:keepNext/>
      </w:pPr>
      <w:r>
        <w:t>7.1 Create a quote</w:t>
      </w:r>
    </w:p>
    <w:p>
      <w:r>
        <w:t>POST /api/v1/quotes</w:t>
      </w:r>
    </w:p>
    <w:p>
      <w:pPr>
        <w:pStyle w:val="CodeText"/>
        <w:shd w:fill="F1F5F9"/>
      </w:pPr>
      <w:r>
        <w:t>{</w:t>
      </w:r>
    </w:p>
    <w:p>
      <w:pPr>
        <w:pStyle w:val="CodeText"/>
        <w:shd w:fill="F1F5F9"/>
      </w:pPr>
      <w:r>
        <w:t xml:space="preserve">  "serviceType": "instant",</w:t>
      </w:r>
    </w:p>
    <w:p>
      <w:pPr>
        <w:pStyle w:val="CodeText"/>
        <w:shd w:fill="F1F5F9"/>
      </w:pPr>
      <w:r>
        <w:t xml:space="preserve">  "pickup": { "latitude": -33.9249, "longitude": 18.4241, "addressText": "123 Main Road" },</w:t>
      </w:r>
    </w:p>
    <w:p>
      <w:pPr>
        <w:pStyle w:val="CodeText"/>
        <w:shd w:fill="F1F5F9"/>
      </w:pPr>
      <w:r>
        <w:t xml:space="preserve">  "dropoff": { "latitude": -33.9180, "longitude": 18.4233, "addressText": "45 Kloof Street" },</w:t>
      </w:r>
    </w:p>
    <w:p>
      <w:pPr>
        <w:pStyle w:val="CodeText"/>
        <w:shd w:fill="F1F5F9"/>
      </w:pPr>
      <w:r>
        <w:t xml:space="preserve">  "parcel": { "category": "documents", "weightKg": 0.5, "fragile": false },</w:t>
      </w:r>
    </w:p>
    <w:p>
      <w:pPr>
        <w:pStyle w:val="CodeText"/>
        <w:shd w:fill="F1F5F9"/>
      </w:pPr>
      <w:r>
        <w:t xml:space="preserve">  "requestedAt": null</w:t>
      </w:r>
    </w:p>
    <w:p>
      <w:pPr>
        <w:pStyle w:val="CodeText"/>
        <w:shd w:fill="F1F5F9"/>
      </w:pPr>
      <w:r>
        <w:t>}</w:t>
      </w:r>
    </w:p>
    <w:p>
      <w:r>
        <w:t>Response: quoteId, currency, total, itemised amounts, estimated distance, estimated duration, expiresAtUtc and pricingVersion. The server calculates the amount. Never trust a client-supplied total.</w:t>
      </w:r>
    </w:p>
    <w:p>
      <w:pPr>
        <w:pStyle w:val="Heading2"/>
        <w:keepNext/>
      </w:pPr>
      <w:r>
        <w:t>7.2 Create an order</w:t>
      </w:r>
    </w:p>
    <w:p>
      <w:r>
        <w:t>POST /api/v1/orders, authenticated customer, Idempotency-Key header required.</w:t>
      </w:r>
    </w:p>
    <w:p>
      <w:pPr>
        <w:pStyle w:val="CodeText"/>
        <w:shd w:fill="F1F5F9"/>
      </w:pPr>
      <w:r>
        <w:t>{</w:t>
      </w:r>
    </w:p>
    <w:p>
      <w:pPr>
        <w:pStyle w:val="CodeText"/>
        <w:shd w:fill="F1F5F9"/>
      </w:pPr>
      <w:r>
        <w:t xml:space="preserve">  "quoteId": "quote-id",</w:t>
      </w:r>
    </w:p>
    <w:p>
      <w:pPr>
        <w:pStyle w:val="CodeText"/>
        <w:shd w:fill="F1F5F9"/>
      </w:pPr>
      <w:r>
        <w:t xml:space="preserve">  "pickupContact": { "name": "Sender", "phone": "+27..." },</w:t>
      </w:r>
    </w:p>
    <w:p>
      <w:pPr>
        <w:pStyle w:val="CodeText"/>
        <w:shd w:fill="F1F5F9"/>
      </w:pPr>
      <w:r>
        <w:t xml:space="preserve">  "recipient": { "name": "Recipient", "phone": "+27..." },</w:t>
      </w:r>
    </w:p>
    <w:p>
      <w:pPr>
        <w:pStyle w:val="CodeText"/>
        <w:shd w:fill="F1F5F9"/>
      </w:pPr>
      <w:r>
        <w:t xml:space="preserve">  "deliveryInstructions": "Call on arrival",</w:t>
      </w:r>
    </w:p>
    <w:p>
      <w:pPr>
        <w:pStyle w:val="CodeText"/>
        <w:shd w:fill="F1F5F9"/>
      </w:pPr>
      <w:r>
        <w:t xml:space="preserve">  "paymentMethod": "card"</w:t>
      </w:r>
    </w:p>
    <w:p>
      <w:pPr>
        <w:pStyle w:val="CodeText"/>
        <w:shd w:fill="F1F5F9"/>
      </w:pPr>
      <w:r>
        <w:t>}</w:t>
      </w:r>
    </w:p>
    <w:p>
      <w:r>
        <w:t>Response: orderId, orderStatus, paymentStatus, amountDue, nextAction and createdAtUtc. If the quote is expired, return a conflict or domain-specific validation response with a new-quote action.</w:t>
      </w:r>
    </w:p>
    <w:p>
      <w:pPr>
        <w:pStyle w:val="Heading2"/>
        <w:keepNext/>
      </w:pPr>
      <w:r>
        <w:t>7.3 Read an order and tracking</w:t>
      </w:r>
    </w:p>
    <w:p>
      <w:r>
        <w:t>GET /api/v1/orders/{orderId}. GET /api/v1/orders/{orderId}/tracking. Verify the authenticated subject is the customer, assigned rider, recipient with a valid access token, or authorised staff member. Do not rely on an unguessable order ID alone.</w:t>
      </w:r>
    </w:p>
    <w:p>
      <w:pPr>
        <w:pStyle w:val="Heading2"/>
        <w:keepNext/>
      </w:pPr>
      <w:r>
        <w:t>7.4 Rider accepts an offer</w:t>
      </w:r>
    </w:p>
    <w:p>
      <w:r>
        <w:t>POST /api/v1/rider/offers/{offerId}/accept, authenticated approved rider, Idempotency-Key header required.</w:t>
      </w:r>
    </w:p>
    <w:p>
      <w:pPr>
        <w:pStyle w:val="CodeText"/>
        <w:shd w:fill="F1F5F9"/>
      </w:pPr>
      <w:r>
        <w:t>{</w:t>
      </w:r>
    </w:p>
    <w:p>
      <w:pPr>
        <w:pStyle w:val="CodeText"/>
        <w:shd w:fill="F1F5F9"/>
      </w:pPr>
      <w:r>
        <w:t xml:space="preserve">  "deviceId": "registered-device-id",</w:t>
      </w:r>
    </w:p>
    <w:p>
      <w:pPr>
        <w:pStyle w:val="CodeText"/>
        <w:shd w:fill="F1F5F9"/>
      </w:pPr>
      <w:r>
        <w:t xml:space="preserve">  "expectedOfferVersion": 2</w:t>
      </w:r>
    </w:p>
    <w:p>
      <w:pPr>
        <w:pStyle w:val="CodeText"/>
        <w:shd w:fill="F1F5F9"/>
      </w:pPr>
      <w:r>
        <w:t>}</w:t>
      </w:r>
    </w:p>
    <w:p>
      <w:r>
        <w:t>The server validates offer expiry, rider eligibility, location freshness, concurrent assignment limits and current offer state inside a concurrency-safe transaction. Return 200 for the winning accepted assignment, or a domain conflict such as OFFER_EXPIRED or OFFER_ALREADY_TAKEN.</w:t>
      </w:r>
    </w:p>
    <w:p>
      <w:pPr>
        <w:pStyle w:val="Heading2"/>
        <w:keepNext/>
      </w:pPr>
      <w:r>
        <w:t>7.5 Record delivery events</w:t>
      </w:r>
    </w:p>
    <w:p>
      <w:r>
        <w:t>POST /api/v1/rider/trips/{tripId}/events</w:t>
      </w:r>
    </w:p>
    <w:p>
      <w:pPr>
        <w:pStyle w:val="CodeText"/>
        <w:shd w:fill="F1F5F9"/>
      </w:pPr>
      <w:r>
        <w:t>{</w:t>
      </w:r>
    </w:p>
    <w:p>
      <w:pPr>
        <w:pStyle w:val="CodeText"/>
        <w:shd w:fill="F1F5F9"/>
      </w:pPr>
      <w:r>
        <w:t xml:space="preserve">  "eventType": "delivery.collected",</w:t>
      </w:r>
    </w:p>
    <w:p>
      <w:pPr>
        <w:pStyle w:val="CodeText"/>
        <w:shd w:fill="F1F5F9"/>
      </w:pPr>
      <w:r>
        <w:t xml:space="preserve">  "occurredAtDeviceUtc": "2026-10-22T16:42:00Z",</w:t>
      </w:r>
    </w:p>
    <w:p>
      <w:pPr>
        <w:pStyle w:val="CodeText"/>
        <w:shd w:fill="F1F5F9"/>
      </w:pPr>
      <w:r>
        <w:t xml:space="preserve">  "eventId": "client-generated-uuid",</w:t>
      </w:r>
    </w:p>
    <w:p>
      <w:pPr>
        <w:pStyle w:val="CodeText"/>
        <w:shd w:fill="F1F5F9"/>
      </w:pPr>
      <w:r>
        <w:t xml:space="preserve">  "evidence": { "type": "collection_otp", "value": "entered-code" }</w:t>
      </w:r>
    </w:p>
    <w:p>
      <w:pPr>
        <w:pStyle w:val="CodeText"/>
        <w:shd w:fill="F1F5F9"/>
      </w:pPr>
      <w:r>
        <w:t>}</w:t>
      </w:r>
    </w:p>
    <w:p>
      <w:r>
        <w:t>The server validates trip ownership, permitted transition and proof requirements. It records server receipt time separately from device event time. The API returns accepted, rejected or pending synchronisation state.</w:t>
      </w:r>
    </w:p>
    <w:p>
      <w:pPr>
        <w:pStyle w:val="Heading2"/>
        <w:keepNext/>
      </w:pPr>
      <w:r>
        <w:t>7.6 Submit rider location</w:t>
      </w:r>
    </w:p>
    <w:p>
      <w:r>
        <w:t>POST /api/v1/rider/location, authenticated rider. Payload should include latitude, longitude, accuracyMeters, capturedAtUtc, tripId and sequence number. Enforce rate limits, coordinate validation, timestamp bounds and trip ownership. Apply a location sampling policy based on movement and active status.</w:t>
      </w:r>
    </w:p>
    <w:p>
      <w:pPr>
        <w:pStyle w:val="Heading2"/>
        <w:keepNext/>
      </w:pPr>
      <w:r>
        <w:t>7.7 Payment provider callback</w:t>
      </w:r>
    </w:p>
    <w:p>
      <w:r>
        <w:t>POST /api/v1/payments/webhooks/{provider}. Verify the provider signature, merchant account, amount, currency, reference and event replay. Return the provider-required response promptly. Process downstream actions asynchronously where appropriate. Never mark a payment successful from a mobile deep link alone.</w:t>
      </w:r>
    </w:p>
    <w:p>
      <w:pPr>
        <w:pStyle w:val="Heading2"/>
        <w:keepNext/>
      </w:pPr>
      <w:r>
        <w:t>7.8 API error format</w:t>
      </w:r>
    </w:p>
    <w:p>
      <w:pPr>
        <w:pStyle w:val="CodeText"/>
        <w:shd w:fill="F1F5F9"/>
      </w:pPr>
      <w:r>
        <w:t>{</w:t>
      </w:r>
    </w:p>
    <w:p>
      <w:pPr>
        <w:pStyle w:val="CodeText"/>
        <w:shd w:fill="F1F5F9"/>
      </w:pPr>
      <w:r>
        <w:t xml:space="preserve">  "type": "https://api.example.co.za/problems/offer-expired",</w:t>
      </w:r>
    </w:p>
    <w:p>
      <w:pPr>
        <w:pStyle w:val="CodeText"/>
        <w:shd w:fill="F1F5F9"/>
      </w:pPr>
      <w:r>
        <w:t xml:space="preserve">  "title": "Offer is no longer available",</w:t>
      </w:r>
    </w:p>
    <w:p>
      <w:pPr>
        <w:pStyle w:val="CodeText"/>
        <w:shd w:fill="F1F5F9"/>
      </w:pPr>
      <w:r>
        <w:t xml:space="preserve">  "status": 409,</w:t>
      </w:r>
    </w:p>
    <w:p>
      <w:pPr>
        <w:pStyle w:val="CodeText"/>
        <w:shd w:fill="F1F5F9"/>
      </w:pPr>
      <w:r>
        <w:t xml:space="preserve">  "code": "OFFER_EXPIRED",</w:t>
      </w:r>
    </w:p>
    <w:p>
      <w:pPr>
        <w:pStyle w:val="CodeText"/>
        <w:shd w:fill="F1F5F9"/>
      </w:pPr>
      <w:r>
        <w:t xml:space="preserve">  "detail": "Refresh the offer list and choose another delivery.",</w:t>
      </w:r>
    </w:p>
    <w:p>
      <w:pPr>
        <w:pStyle w:val="CodeText"/>
        <w:shd w:fill="F1F5F9"/>
      </w:pPr>
      <w:r>
        <w:t xml:space="preserve">  "correlationId": "correlation-id"</w:t>
      </w:r>
    </w:p>
    <w:p>
      <w:pPr>
        <w:pStyle w:val="CodeText"/>
        <w:shd w:fill="F1F5F9"/>
      </w:pPr>
      <w:r>
        <w:t>}</w:t>
      </w:r>
    </w:p>
    <w:p>
      <w:r>
        <w:t>Use an RFC 9457 Problem Details-compatible format or a documented equivalent. Do not return stack traces, provider secrets or personal data in error responses.</w:t>
      </w:r>
    </w:p>
    <w:p>
      <w:pPr>
        <w:pStyle w:val="Heading1"/>
        <w:keepNext/>
      </w:pPr>
      <w:r>
        <w:t>8. Data model outline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94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Entity</w:t>
            </w:r>
          </w:p>
        </w:tc>
        <w:tc>
          <w:tcPr>
            <w:tcW w:type="dxa" w:w="381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Key fields</w:t>
            </w:r>
          </w:p>
        </w:tc>
        <w:tc>
          <w:tcPr>
            <w:tcW w:type="dxa" w:w="417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Notes</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UserProfile</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UserId, role associations, name, contact, account status, created/updated.</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Authentication secrets stay in the identity provider.</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RiderProfile</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RiderId, UserId, approval state, availability, service zones.</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Availability needs updated-at and source/device metadata.</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RiderDocument</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DocumentId, RiderId, type, object reference, expiry, review status, reviewer.</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Sensitive access; define retention and deletion.</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Motorcycle</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MotorcycleId, RiderId, registration, type, capacity, verification status.</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Use controlled enums and configurable limits.</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Quote</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QuoteId, customer reference, pickup/drop-off coordinates, distance, price components, expiry, pricing version.</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Immutable after acceptance.</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Order</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OrderId, customer, merchant optional, quote reference/snapshot, addresses, parcel, state, version, timestamps.</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Owns lifecycle and authoritative state.</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OrderStatusHistory</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HistoryId, OrderId, from/to status, actor, reason, event time and correlation ID.</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Append-only where practical.</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DispatchOffer</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OfferId, OrderId, RiderId, offered/expiry times, response and version.</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Unique active offer/assignment constraints.</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Assignment</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AssignmentId, OrderId, RiderId, assigned/ended times, status and reason.</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Enforce concurrent allocation rule.</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PaymentTransaction</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TransactionId, OrderId, provider reference, amount, currency, status, idempotency key.</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Do not store raw card data.</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DeliveryEvidence</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EvidenceId, OrderId, evidence type, object reference/hash, captured time, actor.</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Read access time-limited and audited.</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SupportCase</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CaseId, OrderId, owner, type, severity, state, internal and public notes references.</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Separate internal from customer-facing data.</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5"/>
              </w:rPr>
              <w:t>OutboxMessage</w:t>
            </w:r>
          </w:p>
        </w:tc>
        <w:tc>
          <w:tcPr>
            <w:tcW w:type="dxa" w:w="3816"/>
            <w:vAlign w:val="center"/>
            <w:tcMar>
              <w:top w:w="80" w:type="dxa"/>
              <w:start w:w="95" w:type="dxa"/>
              <w:bottom w:w="80" w:type="dxa"/>
              <w:end w:w="95" w:type="dxa"/>
            </w:tcMar>
          </w:tcPr>
          <w:p>
            <w:pPr>
              <w:spacing w:after="0" w:line="240" w:lineRule="auto"/>
            </w:pPr>
            <w:r/>
            <w:r>
              <w:rPr>
                <w:rFonts w:ascii="Aptos" w:hAnsi="Aptos" w:eastAsia="Aptos"/>
                <w:b w:val="0"/>
                <w:color w:val="1F2937"/>
                <w:sz w:val="15"/>
              </w:rPr>
              <w:t>MessageId, aggregate, event type, payload, created/published timestamps, attempts.</w:t>
            </w:r>
          </w:p>
        </w:tc>
        <w:tc>
          <w:tcPr>
            <w:tcW w:type="dxa" w:w="4176"/>
            <w:vAlign w:val="center"/>
            <w:tcMar>
              <w:top w:w="80" w:type="dxa"/>
              <w:start w:w="95" w:type="dxa"/>
              <w:bottom w:w="80" w:type="dxa"/>
              <w:end w:w="95" w:type="dxa"/>
            </w:tcMar>
          </w:tcPr>
          <w:p>
            <w:pPr>
              <w:spacing w:after="0" w:line="240" w:lineRule="auto"/>
            </w:pPr>
            <w:r/>
            <w:r>
              <w:rPr>
                <w:rFonts w:ascii="Aptos" w:hAnsi="Aptos" w:eastAsia="Aptos"/>
                <w:b w:val="0"/>
                <w:color w:val="1F2937"/>
                <w:sz w:val="15"/>
              </w:rPr>
              <w:t>Transactional outbox, with cleanup policy.</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AuditRecord</w:t>
            </w:r>
          </w:p>
        </w:tc>
        <w:tc>
          <w:tcPr>
            <w:tcW w:type="dxa" w:w="381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Actor, action, target type/id, timestamp, outcome, reason and safe change summary.</w:t>
            </w:r>
          </w:p>
        </w:tc>
        <w:tc>
          <w:tcPr>
            <w:tcW w:type="dxa" w:w="41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Avoid copying unnecessary personal or payment data.</w:t>
            </w:r>
          </w:p>
        </w:tc>
      </w:tr>
    </w:tbl>
    <w:p>
      <w:pPr>
        <w:spacing w:after="0"/>
      </w:pPr>
    </w:p>
    <w:p>
      <w:pPr>
        <w:pStyle w:val="Heading1"/>
        <w:keepNext/>
      </w:pPr>
      <w:r>
        <w:t>9. Security, privacy and South African launch needs</w:t>
      </w:r>
    </w:p>
    <w:p>
      <w:pPr>
        <w:pStyle w:val="Heading2"/>
        <w:keepNext/>
      </w:pPr>
      <w:r>
        <w:t>9.1 Identity and access</w:t>
      </w:r>
    </w:p>
    <w:p>
      <w:pPr>
        <w:pStyle w:val="ListBullet"/>
        <w:spacing w:after="40"/>
      </w:pPr>
      <w:r>
        <w:t>Use OpenID Connect and OAuth 2.0 through a managed identity provider. Use short-lived access tokens and secure refresh-token handling.</w:t>
      </w:r>
    </w:p>
    <w:p>
      <w:pPr>
        <w:pStyle w:val="ListBullet"/>
        <w:spacing w:after="40"/>
      </w:pPr>
      <w:r>
        <w:t>Require multi-factor authentication for staff, especially finance, rider approval and platform administrators.</w:t>
      </w:r>
    </w:p>
    <w:p>
      <w:pPr>
        <w:pStyle w:val="ListBullet"/>
        <w:spacing w:after="40"/>
      </w:pPr>
      <w:r>
        <w:t>Enforce least privilege and resource-level authorisation in every API. Back-office menu visibility is not an authorisation control.</w:t>
      </w:r>
    </w:p>
    <w:p>
      <w:pPr>
        <w:pStyle w:val="ListBullet"/>
        <w:spacing w:after="40"/>
      </w:pPr>
      <w:r>
        <w:t>Separate finance request and approval permissions for refunds and other high-impact actions.</w:t>
      </w:r>
    </w:p>
    <w:p>
      <w:pPr>
        <w:pStyle w:val="ListBullet"/>
        <w:spacing w:after="40"/>
      </w:pPr>
      <w:r>
        <w:t>Keep secrets in a managed secret store. Rotate provider credentials and use separate credentials for each environment.</w:t>
      </w:r>
    </w:p>
    <w:p>
      <w:pPr>
        <w:pStyle w:val="Heading2"/>
        <w:keepNext/>
      </w:pPr>
      <w:r>
        <w:t>9.2 Privacy and POPIA considerations</w:t>
      </w:r>
    </w:p>
    <w:p>
      <w:pPr>
        <w:pStyle w:val="ListBullet"/>
        <w:spacing w:after="40"/>
      </w:pPr>
      <w:r>
        <w:t>Identify the responsible party and operator roles, document lawful processing purposes and publish privacy notices before collecting personal data.</w:t>
      </w:r>
    </w:p>
    <w:p>
      <w:pPr>
        <w:pStyle w:val="ListBullet"/>
        <w:spacing w:after="40"/>
      </w:pPr>
      <w:r>
        <w:t>Collect rider location only for a defined operational purpose. Explain background tracking, limit collection to relevant periods and stop after the permitted workflow ends.</w:t>
      </w:r>
    </w:p>
    <w:p>
      <w:pPr>
        <w:pStyle w:val="ListBullet"/>
        <w:spacing w:after="40"/>
      </w:pPr>
      <w:r>
        <w:t>Apply data minimisation to addresses, contact details, evidence photos, signatures, identity documents and support exports.</w:t>
      </w:r>
    </w:p>
    <w:p>
      <w:pPr>
        <w:pStyle w:val="ListBullet"/>
        <w:spacing w:after="40"/>
      </w:pPr>
      <w:r>
        <w:t>Define retention, deletion, data-subject request, incident handling and cross-border transfer procedures with the responsible privacy/legal owner.</w:t>
      </w:r>
    </w:p>
    <w:p>
      <w:pPr>
        <w:pStyle w:val="ListBullet"/>
        <w:spacing w:after="40"/>
      </w:pPr>
      <w:r>
        <w:t>Encrypt data in transit and at rest. Restrict and log access to evidence and verification documents.</w:t>
      </w:r>
    </w:p>
    <w:p>
      <w:pPr>
        <w:pStyle w:val="ListBullet"/>
        <w:spacing w:after="40"/>
      </w:pPr>
      <w:r>
        <w:t>Assess whether a privacy impact assessment is required for precise location tracking and identity-document processing.</w:t>
      </w:r>
    </w:p>
    <w:p>
      <w:pPr>
        <w:pStyle w:val="Heading2"/>
        <w:keepNext/>
      </w:pPr>
      <w:r>
        <w:t>9.3 Payment and fraud controls</w:t>
      </w:r>
    </w:p>
    <w:p>
      <w:pPr>
        <w:pStyle w:val="ListBullet"/>
        <w:spacing w:after="40"/>
      </w:pPr>
      <w:r>
        <w:t>Choose a payment provider after confirming South African payment methods, settlement timelines, refund handling, fraud tooling, webhook reliability, fees and contractual requirements.</w:t>
      </w:r>
    </w:p>
    <w:p>
      <w:pPr>
        <w:pStyle w:val="ListBullet"/>
        <w:spacing w:after="40"/>
      </w:pPr>
      <w:r>
        <w:t>Use provider tokenisation or hosted payment components. Do not store primary account numbers or card security codes.</w:t>
      </w:r>
    </w:p>
    <w:p>
      <w:pPr>
        <w:pStyle w:val="ListBullet"/>
        <w:spacing w:after="40"/>
      </w:pPr>
      <w:r>
        <w:t>Validate payment amount, currency, internal order reference and provider merchant identity on callbacks.</w:t>
      </w:r>
    </w:p>
    <w:p>
      <w:pPr>
        <w:pStyle w:val="ListBullet"/>
        <w:spacing w:after="40"/>
      </w:pPr>
      <w:r>
        <w:t>Use rate limits and monitoring for account creation, OTP attempts, promo-code abuse, booking spikes, refunds and repeated failed payments.</w:t>
      </w:r>
    </w:p>
    <w:p>
      <w:pPr>
        <w:pStyle w:val="ListBullet"/>
        <w:spacing w:after="40"/>
      </w:pPr>
      <w:r>
        <w:t>If cash collection is enabled, define rider cash limits, remittance frequency, reconciliation, dispute evidence and suspension rules before launch.</w:t>
      </w:r>
    </w:p>
    <w:p>
      <w:pPr>
        <w:pStyle w:val="Heading1"/>
        <w:keepNext/>
      </w:pPr>
      <w:r>
        <w:t>10. Non-functional requirements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65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Area</w:t>
            </w:r>
          </w:p>
        </w:tc>
        <w:tc>
          <w:tcPr>
            <w:tcW w:type="dxa" w:w="525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Minimum requirement for release</w:t>
            </w:r>
          </w:p>
        </w:tc>
        <w:tc>
          <w:tcPr>
            <w:tcW w:type="dxa" w:w="302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Verification</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Availability</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Initial target: 99.9% monthly for core booking and order APIs, excluding agreed maintenance and external-provider outage definitions. Validate cost and business need.</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Synthetic checks and service-level dashboards.</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Performance</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Set endpoint-specific latency budgets. Initial goal: internal API p95 under 300 ms for ordinary reads and under 700 ms for simple writes, excluding maps/payment provider latency.</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Load tests with representative datasets and concurrency.</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Dispatch</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Track order-ready-to-assigned time, assignment failure rate and queue age. Establish a target after pilot volumes and service promise are known.</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Metrics and alert thresholds by area and hour.</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Location freshness</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Define separate sampling rates for online idle riders and riders on active delivery. Mark location stale rather than presenting old coordinates as live.</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Device tests, battery tests and location simulation.</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Scalability</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Use stateless API instances where appropriate, bounded queues, database connection limits and autoscaling thresholds.</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Peak-load, soak and burst tests.</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Accessibility</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Angular portal targets WCAG 2.2 AA. Mobile flows support screen readers, scalable text, contrast and accessible control labels.</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Automated checks plus manual keyboard and screen-reader testing.</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Resilience</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Timeouts, bounded retries, circuit breakers, dead-letter queues and documented replay procedures for failed events.</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Fault injection and dependency-outage tests.</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Recovery</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Set RPO/RTO with the business. Proposed starting point is RPO 15 minutes and RTO 4 hours for core transactional data, subject to cloud architecture and cost.</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Backup restore and disaster-recovery exercise.</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Auditability</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High-impact actions and state transitions are traceable by actor, time, target, reason and correlation ID.</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Audit scenario tests and sampled review.</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Compatibility</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Support agreed minimum iOS and Android versions and device classes. Agree the support matrix before implementation.</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Real-device and simulator test matrix.</w:t>
            </w:r>
          </w:p>
        </w:tc>
      </w:tr>
      <w:tr>
        <w:trPr>
          <w:cantSplit/>
        </w:trPr>
        <w:tc>
          <w:tcPr>
            <w:tcW w:type="dxa" w:w="1656"/>
            <w:vAlign w:val="center"/>
            <w:tcMar>
              <w:top w:w="80" w:type="dxa"/>
              <w:start w:w="95" w:type="dxa"/>
              <w:bottom w:w="80" w:type="dxa"/>
              <w:end w:w="95" w:type="dxa"/>
            </w:tcMar>
          </w:tcPr>
          <w:p>
            <w:pPr>
              <w:spacing w:after="0" w:line="240" w:lineRule="auto"/>
            </w:pPr>
            <w:r/>
            <w:r>
              <w:rPr>
                <w:rFonts w:ascii="Aptos" w:hAnsi="Aptos" w:eastAsia="Aptos"/>
                <w:b w:val="0"/>
                <w:color w:val="1F2937"/>
                <w:sz w:val="15"/>
              </w:rPr>
              <w:t>Observability</w:t>
            </w:r>
          </w:p>
        </w:tc>
        <w:tc>
          <w:tcPr>
            <w:tcW w:type="dxa" w:w="5256"/>
            <w:vAlign w:val="center"/>
            <w:tcMar>
              <w:top w:w="80" w:type="dxa"/>
              <w:start w:w="95" w:type="dxa"/>
              <w:bottom w:w="80" w:type="dxa"/>
              <w:end w:w="95" w:type="dxa"/>
            </w:tcMar>
          </w:tcPr>
          <w:p>
            <w:pPr>
              <w:spacing w:after="0" w:line="240" w:lineRule="auto"/>
            </w:pPr>
            <w:r/>
            <w:r>
              <w:rPr>
                <w:rFonts w:ascii="Aptos" w:hAnsi="Aptos" w:eastAsia="Aptos"/>
                <w:b w:val="0"/>
                <w:color w:val="1F2937"/>
                <w:sz w:val="15"/>
              </w:rPr>
              <w:t>Structured logs, metrics and distributed traces with correlation IDs. No secrets or full payment data in logs.</w:t>
            </w:r>
          </w:p>
        </w:tc>
        <w:tc>
          <w:tcPr>
            <w:tcW w:type="dxa" w:w="3024"/>
            <w:vAlign w:val="center"/>
            <w:tcMar>
              <w:top w:w="80" w:type="dxa"/>
              <w:start w:w="95" w:type="dxa"/>
              <w:bottom w:w="80" w:type="dxa"/>
              <w:end w:w="95" w:type="dxa"/>
            </w:tcMar>
          </w:tcPr>
          <w:p>
            <w:pPr>
              <w:spacing w:after="0" w:line="240" w:lineRule="auto"/>
            </w:pPr>
            <w:r/>
            <w:r>
              <w:rPr>
                <w:rFonts w:ascii="Aptos" w:hAnsi="Aptos" w:eastAsia="Aptos"/>
                <w:b w:val="0"/>
                <w:color w:val="1F2937"/>
                <w:sz w:val="15"/>
              </w:rPr>
              <w:t>Dashboards, alert tests and log review.</w:t>
            </w:r>
          </w:p>
        </w:tc>
      </w:tr>
      <w:tr>
        <w:trPr>
          <w:cantSplit/>
        </w:trPr>
        <w:tc>
          <w:tcPr>
            <w:tcW w:type="dxa" w:w="16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Maintainability</w:t>
            </w:r>
          </w:p>
        </w:tc>
        <w:tc>
          <w:tcPr>
            <w:tcW w:type="dxa" w:w="525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Code formatting, analyzers, dependency scanning, automated tests, architecture decisions and service runbooks.</w:t>
            </w:r>
          </w:p>
        </w:tc>
        <w:tc>
          <w:tcPr>
            <w:tcW w:type="dxa" w:w="302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CI quality gates and peer review.</w:t>
            </w:r>
          </w:p>
        </w:tc>
      </w:tr>
    </w:tbl>
    <w:p>
      <w:pPr>
        <w:spacing w:after="0"/>
      </w:pPr>
    </w:p>
    <w:p>
      <w:pPr>
        <w:pStyle w:val="Heading1"/>
        <w:keepNext/>
      </w:pPr>
      <w:r>
        <w:t>11. Technology baseline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51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Layer</w:t>
            </w:r>
          </w:p>
        </w:tc>
        <w:tc>
          <w:tcPr>
            <w:tcW w:type="dxa" w:w="331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Recommendation</w:t>
            </w:r>
          </w:p>
        </w:tc>
        <w:tc>
          <w:tcPr>
            <w:tcW w:type="dxa" w:w="511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Decision notes</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Backend</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C#, ASP.NET Core, .NET 10 LTS, Entity Framework Core, OpenAPI.</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Prefer current supported patch versions. .NET 10 LTS is supported through 14 November 2028 according to Microsoft’s published lifecycle.</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Mobile</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React Native and TypeScript, iOS and Android.</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React Native 0.88 was released on 19 October 2026. Verify maps, background location, push and payment SDK compatibility before pinning the version. Select a supported stable branch based on those tests.</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Web</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Angular 22.x and TypeScript.</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Use the current supported patch at project start, check all component library compatibility and keep major upgrades planned.</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Database</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PostgreSQL.</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Managed service, automated backups, point-in-time recovery and database migration pipeline.</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Cache/location</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Redis.</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TTL-based current location and cache. Do not use as transactional order storage.</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Messaging</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 managed broker, for example Azure Service Bus, Amazon SQS/SNS or managed RabbitMQ.</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Choose one operational path based on hosting provider and team expertise. Do not introduce Kafka without a throughput/event-retention requirement.</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Real time</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SignalR with managed service or Redis backplane where required.</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Track connection count and message throughput. Authorise every subscription.</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Maps</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Google Maps Platform or Mapbox.</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Compare South African coverage, motorcycle routing suitability, pricing, geocoding quality and terms.</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Files</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Cloud object storage.</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Private by default, encryption, malware scanning where appropriate, time-limited access and retention rules.</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Hosting</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Azure or AWS managed container services.</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Select one primary cloud for MVP. Run multiple regions only if resilience/business requirements justify cost.</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Infrastructure</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Docker, Terraform, CI/CD pipeline.</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Automated environments and repeatable configuration.</w:t>
            </w:r>
          </w:p>
        </w:tc>
      </w:tr>
      <w:tr>
        <w:trPr>
          <w:cantSplit/>
        </w:trPr>
        <w:tc>
          <w:tcPr>
            <w:tcW w:type="dxa" w:w="15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Testing</w:t>
            </w:r>
          </w:p>
        </w:tc>
        <w:tc>
          <w:tcPr>
            <w:tcW w:type="dxa" w:w="33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NUnit, NSubstitute, FluentAssertions, integration tests, contract tests and Playwright.</w:t>
            </w:r>
          </w:p>
        </w:tc>
        <w:tc>
          <w:tcPr>
            <w:tcW w:type="dxa" w:w="511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5"/>
              </w:rPr>
              <w:t>Use tools supported by the selected framework versions and team policy.</w:t>
            </w:r>
          </w:p>
        </w:tc>
      </w:tr>
      <w:tr>
        <w:trPr>
          <w:cantSplit/>
        </w:trPr>
        <w:tc>
          <w:tcPr>
            <w:tcW w:type="dxa" w:w="1512"/>
            <w:vAlign w:val="center"/>
            <w:tcMar>
              <w:top w:w="80" w:type="dxa"/>
              <w:start w:w="95" w:type="dxa"/>
              <w:bottom w:w="80" w:type="dxa"/>
              <w:end w:w="95" w:type="dxa"/>
            </w:tcMar>
          </w:tcPr>
          <w:p>
            <w:pPr>
              <w:spacing w:after="0" w:line="240" w:lineRule="auto"/>
            </w:pPr>
            <w:r/>
            <w:r>
              <w:rPr>
                <w:rFonts w:ascii="Aptos" w:hAnsi="Aptos" w:eastAsia="Aptos"/>
                <w:b w:val="0"/>
                <w:color w:val="1F2937"/>
                <w:sz w:val="15"/>
              </w:rPr>
              <w:t>Telemetry</w:t>
            </w:r>
          </w:p>
        </w:tc>
        <w:tc>
          <w:tcPr>
            <w:tcW w:type="dxa" w:w="3312"/>
            <w:vAlign w:val="center"/>
            <w:tcMar>
              <w:top w:w="80" w:type="dxa"/>
              <w:start w:w="95" w:type="dxa"/>
              <w:bottom w:w="80" w:type="dxa"/>
              <w:end w:w="95" w:type="dxa"/>
            </w:tcMar>
          </w:tcPr>
          <w:p>
            <w:pPr>
              <w:spacing w:after="0" w:line="240" w:lineRule="auto"/>
            </w:pPr>
            <w:r/>
            <w:r>
              <w:rPr>
                <w:rFonts w:ascii="Aptos" w:hAnsi="Aptos" w:eastAsia="Aptos"/>
                <w:b w:val="0"/>
                <w:color w:val="1F2937"/>
                <w:sz w:val="15"/>
              </w:rPr>
              <w:t>OpenTelemetry plus cloud-native or Prometheus/Grafana monitoring.</w:t>
            </w:r>
          </w:p>
        </w:tc>
        <w:tc>
          <w:tcPr>
            <w:tcW w:type="dxa" w:w="5112"/>
            <w:vAlign w:val="center"/>
            <w:tcMar>
              <w:top w:w="80" w:type="dxa"/>
              <w:start w:w="95" w:type="dxa"/>
              <w:bottom w:w="80" w:type="dxa"/>
              <w:end w:w="95" w:type="dxa"/>
            </w:tcMar>
          </w:tcPr>
          <w:p>
            <w:pPr>
              <w:spacing w:after="0" w:line="240" w:lineRule="auto"/>
            </w:pPr>
            <w:r/>
            <w:r>
              <w:rPr>
                <w:rFonts w:ascii="Aptos" w:hAnsi="Aptos" w:eastAsia="Aptos"/>
                <w:b w:val="0"/>
                <w:color w:val="1F2937"/>
                <w:sz w:val="15"/>
              </w:rPr>
              <w:t>Use consistent correlation IDs and service-level dashboards.</w:t>
            </w:r>
          </w:p>
        </w:tc>
      </w:tr>
    </w:tbl>
    <w:p>
      <w:pPr>
        <w:spacing w:after="0"/>
      </w:pPr>
    </w:p>
    <w:p>
      <w:pPr>
        <w:pStyle w:val="Heading2"/>
        <w:keepNext/>
      </w:pPr>
      <w:r>
        <w:t>11.1 Official version references</w:t>
      </w:r>
    </w:p>
    <w:p>
      <w:pPr>
        <w:pStyle w:val="ListBullet"/>
        <w:spacing w:after="40"/>
      </w:pPr>
      <w:r>
        <w:t>.NET support lifecycle: https://dotnet.microsoft.com/en-us/platform/support/policy/dotnet-core</w:t>
      </w:r>
    </w:p>
    <w:p>
      <w:pPr>
        <w:pStyle w:val="ListBullet"/>
        <w:spacing w:after="40"/>
      </w:pPr>
      <w:r>
        <w:t>Angular release and support policy: https://angular.dev/reference/releases</w:t>
      </w:r>
    </w:p>
    <w:p>
      <w:pPr>
        <w:pStyle w:val="ListBullet"/>
        <w:spacing w:after="40"/>
      </w:pPr>
      <w:r>
        <w:t>React Native release overview: https://reactnative.dev/releases/</w:t>
      </w:r>
    </w:p>
    <w:p>
      <w:pPr>
        <w:pStyle w:val="ListBullet"/>
        <w:spacing w:after="40"/>
      </w:pPr>
      <w:r>
        <w:t>React Native release blog: https://reactnative.dev/blog</w:t>
      </w:r>
    </w:p>
    <w:p>
      <w:pPr>
        <w:pStyle w:val="Heading1"/>
        <w:keepNext/>
      </w:pPr>
      <w:r>
        <w:t>12. Testing and quality plan</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Test level</w:t>
            </w:r>
          </w:p>
        </w:tc>
        <w:tc>
          <w:tcPr>
            <w:tcW w:type="dxa" w:w="813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Coverage required</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Unit tests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Pricing calculations, quote expiry, state machine, dispatch eligibility, role policies and idempotency decisions.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Integration tests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PostgreSQL transactions, outbox publishing, message consumers, Redis behaviour, object storage access and identity-provider integration.</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Contract tests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Consumer/provider compatibility for service APIs and event schemas.</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End-to-end tests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Customer books and pays, rider accepts, collects, delivers, submits proof and customer sees completion. Include cancellation and failure paths.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Mobile tests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Permission denial, backgrounding, lost network, app termination, GPS stale state, push notification tap-through and secure token storage.</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Security tests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Broken access control, cross-tenant access, object access, IDOR, rate limits, webhook signature validation and secret leakage.</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Performance tests</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Booking peak, dispatch competition, location ingestion, map/tracking subscribers, queue backlogs and database saturation.</w:t>
            </w:r>
          </w:p>
        </w:tc>
      </w:tr>
      <w:tr>
        <w:trPr>
          <w:cantSplit/>
        </w:trPr>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Operational tests</w:t>
            </w:r>
          </w:p>
        </w:tc>
        <w:tc>
          <w:tcPr>
            <w:tcW w:type="dxa" w:w="813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Provider outage, message retries, dead-letter replay, database restore, expired credentials and delayed notifications.</w:t>
            </w:r>
          </w:p>
        </w:tc>
      </w:tr>
      <w:tr>
        <w:trPr>
          <w:cantSplit/>
        </w:trPr>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6"/>
              </w:rPr>
              <w:t>Accessibility/usability</w:t>
            </w:r>
          </w:p>
        </w:tc>
        <w:tc>
          <w:tcPr>
            <w:tcW w:type="dxa" w:w="8136"/>
            <w:vAlign w:val="center"/>
            <w:tcMar>
              <w:top w:w="80" w:type="dxa"/>
              <w:start w:w="95" w:type="dxa"/>
              <w:bottom w:w="80" w:type="dxa"/>
              <w:end w:w="95" w:type="dxa"/>
            </w:tcMar>
          </w:tcPr>
          <w:p>
            <w:pPr>
              <w:spacing w:after="0" w:line="240" w:lineRule="auto"/>
            </w:pPr>
            <w:r/>
            <w:r>
              <w:rPr>
                <w:rFonts w:ascii="Aptos" w:hAnsi="Aptos" w:eastAsia="Aptos"/>
                <w:b w:val="0"/>
                <w:color w:val="1F2937"/>
                <w:sz w:val="16"/>
              </w:rPr>
              <w:t>Screen-reader labels, text scaling, keyboard navigation, contrast and clear error messages.</w:t>
            </w:r>
          </w:p>
        </w:tc>
      </w:tr>
    </w:tbl>
    <w:p>
      <w:pPr>
        <w:spacing w:after="0"/>
      </w:pPr>
    </w:p>
    <w:p>
      <w:pPr>
        <w:pStyle w:val="Heading2"/>
        <w:keepNext/>
      </w:pPr>
      <w:r>
        <w:t>12.1 Release-blocking acceptance tests</w:t>
      </w:r>
    </w:p>
    <w:p>
      <w:pPr>
        <w:pStyle w:val="ListBullet"/>
        <w:spacing w:after="40"/>
      </w:pPr>
      <w:r>
        <w:t>Given a valid quote, when a customer submits an order twice with the same idempotency key, then only one order and one logical payment request are created.</w:t>
      </w:r>
    </w:p>
    <w:p>
      <w:pPr>
        <w:pStyle w:val="ListBullet"/>
        <w:spacing w:after="40"/>
      </w:pPr>
      <w:r>
        <w:t>Given an expired quote, when a customer submits a booking, then the order is not priced using an expired amount and the app asks for a refreshed quote.</w:t>
      </w:r>
    </w:p>
    <w:p>
      <w:pPr>
        <w:pStyle w:val="ListBullet"/>
        <w:spacing w:after="40"/>
      </w:pPr>
      <w:r>
        <w:t>Given two eligible riders accept one offer concurrently, then exactly one assignment succeeds.</w:t>
      </w:r>
    </w:p>
    <w:p>
      <w:pPr>
        <w:pStyle w:val="ListBullet"/>
        <w:spacing w:after="40"/>
      </w:pPr>
      <w:r>
        <w:t>Given an unapproved rider, when the rider attempts to go online or accept an offer, then the backend denies the command and records the reason.</w:t>
      </w:r>
    </w:p>
    <w:p>
      <w:pPr>
        <w:pStyle w:val="ListBullet"/>
        <w:spacing w:after="40"/>
      </w:pPr>
      <w:r>
        <w:t>Given an order in transit, when a rider sends a Delivered event without required verification, then the backend rejects the transition.</w:t>
      </w:r>
    </w:p>
    <w:p>
      <w:pPr>
        <w:pStyle w:val="ListBullet"/>
        <w:spacing w:after="40"/>
      </w:pPr>
      <w:r>
        <w:t>Given a forged or replayed payment callback, then the backend rejects or safely ignores it without duplicate financial effects.</w:t>
      </w:r>
    </w:p>
    <w:p>
      <w:pPr>
        <w:pStyle w:val="ListBullet"/>
        <w:spacing w:after="40"/>
      </w:pPr>
      <w:r>
        <w:t>Given a customer requests another customer’s order, then the API returns an unauthorised/not-found response without disclosing order data.</w:t>
      </w:r>
    </w:p>
    <w:p>
      <w:pPr>
        <w:pStyle w:val="ListBullet"/>
        <w:spacing w:after="40"/>
      </w:pPr>
      <w:r>
        <w:t>Given a stale rider location, then customer tracking labels it stale or unavailable rather than showing it as live.</w:t>
      </w:r>
    </w:p>
    <w:p>
      <w:pPr>
        <w:pStyle w:val="ListBullet"/>
        <w:spacing w:after="40"/>
      </w:pPr>
      <w:r>
        <w:t>Given a staff refund above the approval threshold, then the requester cannot approve their own refund.</w:t>
      </w:r>
    </w:p>
    <w:p>
      <w:pPr>
        <w:pStyle w:val="ListBullet"/>
        <w:spacing w:after="40"/>
      </w:pPr>
      <w:r>
        <w:t>Given a message consumer processes the same event twice, then the second processing does not create duplicate assignment, notification, ledger or status side effects.</w:t>
      </w:r>
    </w:p>
    <w:p>
      <w:pPr>
        <w:pStyle w:val="Heading1"/>
        <w:keepNext/>
      </w:pPr>
      <w:r>
        <w:t>13. Delivery roadmap and backlog</w:t>
      </w:r>
    </w:p>
    <w:p>
      <w:pPr>
        <w:pStyle w:val="Heading2"/>
        <w:keepNext/>
      </w:pPr>
      <w:r>
        <w:t>13.1 Phase 0, discovery and design</w:t>
      </w:r>
    </w:p>
    <w:p>
      <w:pPr>
        <w:pStyle w:val="ListBullet"/>
        <w:spacing w:after="40"/>
      </w:pPr>
      <w:r>
        <w:t>Confirm launch area, delivery operating hours, supported parcel types, capacity limits and service promise.</w:t>
      </w:r>
    </w:p>
    <w:p>
      <w:pPr>
        <w:pStyle w:val="ListBullet"/>
        <w:spacing w:after="40"/>
      </w:pPr>
      <w:r>
        <w:t>Confirm rider employment/contract model, onboarding documents, insurance and vehicle requirements with the business and legal advisers.</w:t>
      </w:r>
    </w:p>
    <w:p>
      <w:pPr>
        <w:pStyle w:val="ListBullet"/>
        <w:spacing w:after="40"/>
      </w:pPr>
      <w:r>
        <w:t>Choose cloud provider, identity provider, payment gateway, map provider and notification provider.</w:t>
      </w:r>
    </w:p>
    <w:p>
      <w:pPr>
        <w:pStyle w:val="ListBullet"/>
        <w:spacing w:after="40"/>
      </w:pPr>
      <w:r>
        <w:t>Approve pricing formula, cancellation fees, payment settlement model, refund policy and cash policy.</w:t>
      </w:r>
    </w:p>
    <w:p>
      <w:pPr>
        <w:pStyle w:val="ListBullet"/>
        <w:spacing w:after="40"/>
      </w:pPr>
      <w:r>
        <w:t>Create detailed prototypes for customer booking, rider job flow, dispatch and order management. Test with representative users.</w:t>
      </w:r>
    </w:p>
    <w:p>
      <w:pPr>
        <w:pStyle w:val="ListBullet"/>
        <w:spacing w:after="40"/>
      </w:pPr>
      <w:r>
        <w:t>Confirm order/state model, roles and data-retention rules before coding.</w:t>
      </w:r>
    </w:p>
    <w:p>
      <w:pPr>
        <w:pStyle w:val="Heading2"/>
        <w:keepNext/>
      </w:pPr>
      <w:r>
        <w:t>13.2 Phase 1, MVP backlog</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86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Priority</w:t>
            </w:r>
          </w:p>
        </w:tc>
        <w:tc>
          <w:tcPr>
            <w:tcW w:type="dxa" w:w="180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Epic</w:t>
            </w:r>
          </w:p>
        </w:tc>
        <w:tc>
          <w:tcPr>
            <w:tcW w:type="dxa" w:w="468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Must-deliver items</w:t>
            </w:r>
          </w:p>
        </w:tc>
        <w:tc>
          <w:tcPr>
            <w:tcW w:type="dxa" w:w="259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Exit condition</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Platform foundation</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Repositories, CI/CD, environments, identity, OpenAPI, logging, secrets and health checks.</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Repeatable deployment, basic security gates and dashboards.</w:t>
            </w:r>
          </w:p>
        </w:tc>
      </w:tr>
      <w:tr>
        <w:trPr>
          <w:cantSplit/>
        </w:trPr>
        <w:tc>
          <w:tcPr>
            <w:tcW w:type="dxa" w:w="8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Customer booking</w:t>
            </w:r>
          </w:p>
        </w:tc>
        <w:tc>
          <w:tcPr>
            <w:tcW w:type="dxa" w:w="468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Registration, address selection, quote, parcel details, payment and order history.</w:t>
            </w:r>
          </w:p>
        </w:tc>
        <w:tc>
          <w:tcPr>
            <w:tcW w:type="dxa" w:w="259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Customer completes successful and failed booking scenarios.</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Rider operations</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Onboarding, verification, availability, offer acceptance, pickup, delivery and proof.</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Only approved riders receive jobs; state changes are validated.</w:t>
            </w:r>
          </w:p>
        </w:tc>
      </w:tr>
      <w:tr>
        <w:trPr>
          <w:cantSplit/>
        </w:trPr>
        <w:tc>
          <w:tcPr>
            <w:tcW w:type="dxa" w:w="8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Orders and dispatch</w:t>
            </w:r>
          </w:p>
        </w:tc>
        <w:tc>
          <w:tcPr>
            <w:tcW w:type="dxa" w:w="468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Order lifecycle, basic assignment, manual dispatch and exception handling.</w:t>
            </w:r>
          </w:p>
        </w:tc>
        <w:tc>
          <w:tcPr>
            <w:tcW w:type="dxa" w:w="259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No double assignment; dispatch queue is operable by staff.</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Payments</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Payment intent, verified webhook, refund path and reconciliation report.</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Payment/order states reconcile through failure and retry cases.</w:t>
            </w:r>
          </w:p>
        </w:tc>
      </w:tr>
      <w:tr>
        <w:trPr>
          <w:cantSplit/>
        </w:trPr>
        <w:tc>
          <w:tcPr>
            <w:tcW w:type="dxa" w:w="8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Tracking and notifications</w:t>
            </w:r>
          </w:p>
        </w:tc>
        <w:tc>
          <w:tcPr>
            <w:tcW w:type="dxa" w:w="468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Current location, status timeline, ETA integration and push alerts.</w:t>
            </w:r>
          </w:p>
        </w:tc>
        <w:tc>
          <w:tcPr>
            <w:tcW w:type="dxa" w:w="259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Authorised user sees accurate status with stale-location handling.</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Back office</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Dashboard, order detail, rider management, dispatch map and audit.</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Operations staff handles core exceptions without direct database access.</w:t>
            </w:r>
          </w:p>
        </w:tc>
      </w:tr>
      <w:tr>
        <w:trPr>
          <w:cantSplit/>
        </w:trPr>
        <w:tc>
          <w:tcPr>
            <w:tcW w:type="dxa" w:w="8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P0</w:t>
            </w:r>
          </w:p>
        </w:tc>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Release assurance</w:t>
            </w:r>
          </w:p>
        </w:tc>
        <w:tc>
          <w:tcPr>
            <w:tcW w:type="dxa" w:w="468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Automated test suite, runbooks, backups, restore exercise, alerting and support escalation.</w:t>
            </w:r>
          </w:p>
        </w:tc>
        <w:tc>
          <w:tcPr>
            <w:tcW w:type="dxa" w:w="259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Release gates pass and named owners accept operational readiness.</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P1</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Merchant area</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Business accounts, bulk upload, multi-branch and contract pricing.</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Merchant can submit and track its orders with tenant isolation.</w:t>
            </w:r>
          </w:p>
        </w:tc>
      </w:tr>
      <w:tr>
        <w:trPr>
          <w:cantSplit/>
        </w:trPr>
        <w:tc>
          <w:tcPr>
            <w:tcW w:type="dxa" w:w="86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P1</w:t>
            </w:r>
          </w:p>
        </w:tc>
        <w:tc>
          <w:tcPr>
            <w:tcW w:type="dxa" w:w="180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Finance/reporting</w:t>
            </w:r>
          </w:p>
        </w:tc>
        <w:tc>
          <w:tcPr>
            <w:tcW w:type="dxa" w:w="468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Payouts, cash reconciliation if enabled, invoices and richer metrics.</w:t>
            </w:r>
          </w:p>
        </w:tc>
        <w:tc>
          <w:tcPr>
            <w:tcW w:type="dxa" w:w="259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4"/>
              </w:rPr>
              <w:t>Finance reconciles delivery fees, payment fees, refunds and payouts.</w:t>
            </w:r>
          </w:p>
        </w:tc>
      </w:tr>
      <w:tr>
        <w:trPr>
          <w:cantSplit/>
        </w:trPr>
        <w:tc>
          <w:tcPr>
            <w:tcW w:type="dxa" w:w="864"/>
            <w:vAlign w:val="center"/>
            <w:tcMar>
              <w:top w:w="80" w:type="dxa"/>
              <w:start w:w="95" w:type="dxa"/>
              <w:bottom w:w="80" w:type="dxa"/>
              <w:end w:w="95" w:type="dxa"/>
            </w:tcMar>
          </w:tcPr>
          <w:p>
            <w:pPr>
              <w:spacing w:after="0" w:line="240" w:lineRule="auto"/>
            </w:pPr>
            <w:r/>
            <w:r>
              <w:rPr>
                <w:rFonts w:ascii="Aptos" w:hAnsi="Aptos" w:eastAsia="Aptos"/>
                <w:b w:val="0"/>
                <w:color w:val="1F2937"/>
                <w:sz w:val="14"/>
              </w:rPr>
              <w:t>P2</w:t>
            </w:r>
          </w:p>
        </w:tc>
        <w:tc>
          <w:tcPr>
            <w:tcW w:type="dxa" w:w="1800"/>
            <w:vAlign w:val="center"/>
            <w:tcMar>
              <w:top w:w="80" w:type="dxa"/>
              <w:start w:w="95" w:type="dxa"/>
              <w:bottom w:w="80" w:type="dxa"/>
              <w:end w:w="95" w:type="dxa"/>
            </w:tcMar>
          </w:tcPr>
          <w:p>
            <w:pPr>
              <w:spacing w:after="0" w:line="240" w:lineRule="auto"/>
            </w:pPr>
            <w:r/>
            <w:r>
              <w:rPr>
                <w:rFonts w:ascii="Aptos" w:hAnsi="Aptos" w:eastAsia="Aptos"/>
                <w:b w:val="0"/>
                <w:color w:val="1F2937"/>
                <w:sz w:val="14"/>
              </w:rPr>
              <w:t>Optimisation</w:t>
            </w:r>
          </w:p>
        </w:tc>
        <w:tc>
          <w:tcPr>
            <w:tcW w:type="dxa" w:w="4680"/>
            <w:vAlign w:val="center"/>
            <w:tcMar>
              <w:top w:w="80" w:type="dxa"/>
              <w:start w:w="95" w:type="dxa"/>
              <w:bottom w:w="80" w:type="dxa"/>
              <w:end w:w="95" w:type="dxa"/>
            </w:tcMar>
          </w:tcPr>
          <w:p>
            <w:pPr>
              <w:spacing w:after="0" w:line="240" w:lineRule="auto"/>
            </w:pPr>
            <w:r/>
            <w:r>
              <w:rPr>
                <w:rFonts w:ascii="Aptos" w:hAnsi="Aptos" w:eastAsia="Aptos"/>
                <w:b w:val="0"/>
                <w:color w:val="1F2937"/>
                <w:sz w:val="14"/>
              </w:rPr>
              <w:t>Multi-stop routes, advanced dynamic pricing, predictive demand and advanced fraud detection.</w:t>
            </w:r>
          </w:p>
        </w:tc>
        <w:tc>
          <w:tcPr>
            <w:tcW w:type="dxa" w:w="2592"/>
            <w:vAlign w:val="center"/>
            <w:tcMar>
              <w:top w:w="80" w:type="dxa"/>
              <w:start w:w="95" w:type="dxa"/>
              <w:bottom w:w="80" w:type="dxa"/>
              <w:end w:w="95" w:type="dxa"/>
            </w:tcMar>
          </w:tcPr>
          <w:p>
            <w:pPr>
              <w:spacing w:after="0" w:line="240" w:lineRule="auto"/>
            </w:pPr>
            <w:r/>
            <w:r>
              <w:rPr>
                <w:rFonts w:ascii="Aptos" w:hAnsi="Aptos" w:eastAsia="Aptos"/>
                <w:b w:val="0"/>
                <w:color w:val="1F2937"/>
                <w:sz w:val="14"/>
              </w:rPr>
              <w:t>Business case and operational data justify the additional complexity.</w:t>
            </w:r>
          </w:p>
        </w:tc>
      </w:tr>
    </w:tbl>
    <w:p>
      <w:pPr>
        <w:spacing w:after="0"/>
      </w:pPr>
    </w:p>
    <w:p>
      <w:pPr>
        <w:pStyle w:val="Heading2"/>
        <w:keepNext/>
      </w:pPr>
      <w:r>
        <w:t>13.3 Team workstreams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Workstream</w:t>
            </w:r>
          </w:p>
        </w:tc>
        <w:tc>
          <w:tcPr>
            <w:tcW w:type="dxa" w:w="770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Primary deliverables</w:t>
            </w:r>
          </w:p>
        </w:tc>
      </w:tr>
      <w:tr>
        <w:trPr>
          <w:cantSplit/>
        </w:trPr>
        <w:tc>
          <w:tcPr>
            <w:tcW w:type="dxa" w:w="2232"/>
            <w:vAlign w:val="center"/>
            <w:tcMar>
              <w:top w:w="80" w:type="dxa"/>
              <w:start w:w="95" w:type="dxa"/>
              <w:bottom w:w="80" w:type="dxa"/>
              <w:end w:w="95" w:type="dxa"/>
            </w:tcMar>
          </w:tcPr>
          <w:p>
            <w:pPr>
              <w:spacing w:after="0" w:line="240" w:lineRule="auto"/>
            </w:pPr>
            <w:r/>
            <w:r>
              <w:rPr>
                <w:rFonts w:ascii="Aptos" w:hAnsi="Aptos" w:eastAsia="Aptos"/>
                <w:b w:val="0"/>
                <w:color w:val="1F2937"/>
                <w:sz w:val="16"/>
              </w:rPr>
              <w:t>Product and UX</w:t>
            </w:r>
          </w:p>
        </w:tc>
        <w:tc>
          <w:tcPr>
            <w:tcW w:type="dxa" w:w="7704"/>
            <w:vAlign w:val="center"/>
            <w:tcMar>
              <w:top w:w="80" w:type="dxa"/>
              <w:start w:w="95" w:type="dxa"/>
              <w:bottom w:w="80" w:type="dxa"/>
              <w:end w:w="95" w:type="dxa"/>
            </w:tcMar>
          </w:tcPr>
          <w:p>
            <w:pPr>
              <w:spacing w:after="0" w:line="240" w:lineRule="auto"/>
            </w:pPr>
            <w:r/>
            <w:r>
              <w:rPr>
                <w:rFonts w:ascii="Aptos" w:hAnsi="Aptos" w:eastAsia="Aptos"/>
                <w:b w:val="0"/>
                <w:color w:val="1F2937"/>
                <w:sz w:val="16"/>
              </w:rPr>
              <w:t>Service blueprint, user journeys, screen designs, prioritised backlog, pricing/cancellation policy and acceptance criteria.</w:t>
            </w:r>
          </w:p>
        </w:tc>
      </w:tr>
      <w:tr>
        <w:trPr>
          <w:cantSplit/>
        </w:trPr>
        <w:tc>
          <w:tcPr>
            <w:tcW w:type="dxa" w:w="22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Mobile</w:t>
            </w:r>
          </w:p>
        </w:tc>
        <w:tc>
          <w:tcPr>
            <w:tcW w:type="dxa" w:w="77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Customer app, rider app, secure storage, push notifications, location permissions and offline behaviour.</w:t>
            </w:r>
          </w:p>
        </w:tc>
      </w:tr>
      <w:tr>
        <w:trPr>
          <w:cantSplit/>
        </w:trPr>
        <w:tc>
          <w:tcPr>
            <w:tcW w:type="dxa" w:w="2232"/>
            <w:vAlign w:val="center"/>
            <w:tcMar>
              <w:top w:w="80" w:type="dxa"/>
              <w:start w:w="95" w:type="dxa"/>
              <w:bottom w:w="80" w:type="dxa"/>
              <w:end w:w="95" w:type="dxa"/>
            </w:tcMar>
          </w:tcPr>
          <w:p>
            <w:pPr>
              <w:spacing w:after="0" w:line="240" w:lineRule="auto"/>
            </w:pPr>
            <w:r/>
            <w:r>
              <w:rPr>
                <w:rFonts w:ascii="Aptos" w:hAnsi="Aptos" w:eastAsia="Aptos"/>
                <w:b w:val="0"/>
                <w:color w:val="1F2937"/>
                <w:sz w:val="16"/>
              </w:rPr>
              <w:t>Backend</w:t>
            </w:r>
          </w:p>
        </w:tc>
        <w:tc>
          <w:tcPr>
            <w:tcW w:type="dxa" w:w="7704"/>
            <w:vAlign w:val="center"/>
            <w:tcMar>
              <w:top w:w="80" w:type="dxa"/>
              <w:start w:w="95" w:type="dxa"/>
              <w:bottom w:w="80" w:type="dxa"/>
              <w:end w:w="95" w:type="dxa"/>
            </w:tcMar>
          </w:tcPr>
          <w:p>
            <w:pPr>
              <w:spacing w:after="0" w:line="240" w:lineRule="auto"/>
            </w:pPr>
            <w:r/>
            <w:r>
              <w:rPr>
                <w:rFonts w:ascii="Aptos" w:hAnsi="Aptos" w:eastAsia="Aptos"/>
                <w:b w:val="0"/>
                <w:color w:val="1F2937"/>
                <w:sz w:val="16"/>
              </w:rPr>
              <w:t>Services, API contracts, database ownership, eventing, payments, dispatch and business rules.</w:t>
            </w:r>
          </w:p>
        </w:tc>
      </w:tr>
      <w:tr>
        <w:trPr>
          <w:cantSplit/>
        </w:trPr>
        <w:tc>
          <w:tcPr>
            <w:tcW w:type="dxa" w:w="22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Web</w:t>
            </w:r>
          </w:p>
        </w:tc>
        <w:tc>
          <w:tcPr>
            <w:tcW w:type="dxa" w:w="77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Angular operations portal, merchant modules, admin controls and reporting interfaces.</w:t>
            </w:r>
          </w:p>
        </w:tc>
      </w:tr>
      <w:tr>
        <w:trPr>
          <w:cantSplit/>
        </w:trPr>
        <w:tc>
          <w:tcPr>
            <w:tcW w:type="dxa" w:w="2232"/>
            <w:vAlign w:val="center"/>
            <w:tcMar>
              <w:top w:w="80" w:type="dxa"/>
              <w:start w:w="95" w:type="dxa"/>
              <w:bottom w:w="80" w:type="dxa"/>
              <w:end w:w="95" w:type="dxa"/>
            </w:tcMar>
          </w:tcPr>
          <w:p>
            <w:pPr>
              <w:spacing w:after="0" w:line="240" w:lineRule="auto"/>
            </w:pPr>
            <w:r/>
            <w:r>
              <w:rPr>
                <w:rFonts w:ascii="Aptos" w:hAnsi="Aptos" w:eastAsia="Aptos"/>
                <w:b w:val="0"/>
                <w:color w:val="1F2937"/>
                <w:sz w:val="16"/>
              </w:rPr>
              <w:t>Platform/SRE</w:t>
            </w:r>
          </w:p>
        </w:tc>
        <w:tc>
          <w:tcPr>
            <w:tcW w:type="dxa" w:w="7704"/>
            <w:vAlign w:val="center"/>
            <w:tcMar>
              <w:top w:w="80" w:type="dxa"/>
              <w:start w:w="95" w:type="dxa"/>
              <w:bottom w:w="80" w:type="dxa"/>
              <w:end w:w="95" w:type="dxa"/>
            </w:tcMar>
          </w:tcPr>
          <w:p>
            <w:pPr>
              <w:spacing w:after="0" w:line="240" w:lineRule="auto"/>
            </w:pPr>
            <w:r/>
            <w:r>
              <w:rPr>
                <w:rFonts w:ascii="Aptos" w:hAnsi="Aptos" w:eastAsia="Aptos"/>
                <w:b w:val="0"/>
                <w:color w:val="1F2937"/>
                <w:sz w:val="16"/>
              </w:rPr>
              <w:t>Cloud environments, IaC, CI/CD, telemetry, backup, restore, security and incident runbooks.</w:t>
            </w:r>
          </w:p>
        </w:tc>
      </w:tr>
      <w:tr>
        <w:trPr>
          <w:cantSplit/>
        </w:trPr>
        <w:tc>
          <w:tcPr>
            <w:tcW w:type="dxa" w:w="22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QA/security</w:t>
            </w:r>
          </w:p>
        </w:tc>
        <w:tc>
          <w:tcPr>
            <w:tcW w:type="dxa" w:w="770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Test strategy, automation, contract tests, accessibility, performance, threat modelling and release sign-off.</w:t>
            </w:r>
          </w:p>
        </w:tc>
      </w:tr>
      <w:tr>
        <w:trPr>
          <w:cantSplit/>
        </w:trPr>
        <w:tc>
          <w:tcPr>
            <w:tcW w:type="dxa" w:w="2232"/>
            <w:vAlign w:val="center"/>
            <w:tcMar>
              <w:top w:w="80" w:type="dxa"/>
              <w:start w:w="95" w:type="dxa"/>
              <w:bottom w:w="80" w:type="dxa"/>
              <w:end w:w="95" w:type="dxa"/>
            </w:tcMar>
          </w:tcPr>
          <w:p>
            <w:pPr>
              <w:spacing w:after="0" w:line="240" w:lineRule="auto"/>
            </w:pPr>
            <w:r/>
            <w:r>
              <w:rPr>
                <w:rFonts w:ascii="Aptos" w:hAnsi="Aptos" w:eastAsia="Aptos"/>
                <w:b w:val="0"/>
                <w:color w:val="1F2937"/>
                <w:sz w:val="16"/>
              </w:rPr>
              <w:t>Operations/finance</w:t>
            </w:r>
          </w:p>
        </w:tc>
        <w:tc>
          <w:tcPr>
            <w:tcW w:type="dxa" w:w="7704"/>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 vetting process, dispatch procedures, refund approvals, reconciliation and support handling.</w:t>
            </w:r>
          </w:p>
        </w:tc>
      </w:tr>
    </w:tbl>
    <w:p>
      <w:pPr>
        <w:spacing w:after="0"/>
      </w:pPr>
    </w:p>
    <w:p>
      <w:pPr>
        <w:pStyle w:val="Heading1"/>
        <w:keepNext/>
      </w:pPr>
      <w:r>
        <w:t>14. Go-live checklist</w:t>
      </w:r>
    </w:p>
    <w:p>
      <w:pPr>
        <w:pStyle w:val="ListBullet"/>
        <w:spacing w:after="40"/>
      </w:pPr>
      <w:r>
        <w:t>Business policies approved for prohibited goods, parcel capacity, cancellations, failed deliveries, customer support and refund approvals.</w:t>
      </w:r>
    </w:p>
    <w:p>
      <w:pPr>
        <w:pStyle w:val="ListBullet"/>
        <w:spacing w:after="40"/>
      </w:pPr>
      <w:r>
        <w:t>All production credentials, domains, certificates, push notification keys and provider webhook endpoints configured securely.</w:t>
      </w:r>
    </w:p>
    <w:p>
      <w:pPr>
        <w:pStyle w:val="ListBullet"/>
        <w:spacing w:after="40"/>
      </w:pPr>
      <w:r>
        <w:t>App store accounts, privacy declarations, permissions disclosures and release builds approved.</w:t>
      </w:r>
    </w:p>
    <w:p>
      <w:pPr>
        <w:pStyle w:val="ListBullet"/>
        <w:spacing w:after="40"/>
      </w:pPr>
      <w:r>
        <w:t>Rider onboarding and document-expiry workflow tested by operations staff.</w:t>
      </w:r>
    </w:p>
    <w:p>
      <w:pPr>
        <w:pStyle w:val="ListBullet"/>
        <w:spacing w:after="40"/>
      </w:pPr>
      <w:r>
        <w:t>Pricing and coverage zones reviewed using representative test routes in the launch geography.</w:t>
      </w:r>
    </w:p>
    <w:p>
      <w:pPr>
        <w:pStyle w:val="ListBullet"/>
        <w:spacing w:after="40"/>
      </w:pPr>
      <w:r>
        <w:t>Payment settlement and refund lifecycle tested with real provider test/live-approved flows.</w:t>
      </w:r>
    </w:p>
    <w:p>
      <w:pPr>
        <w:pStyle w:val="ListBullet"/>
        <w:spacing w:after="40"/>
      </w:pPr>
      <w:r>
        <w:t>Load and resilience tests completed against the agreed launch forecast.</w:t>
      </w:r>
    </w:p>
    <w:p>
      <w:pPr>
        <w:pStyle w:val="ListBullet"/>
        <w:spacing w:after="40"/>
      </w:pPr>
      <w:r>
        <w:t>Backup restore and operational recovery runbooks exercised.</w:t>
      </w:r>
    </w:p>
    <w:p>
      <w:pPr>
        <w:pStyle w:val="ListBullet"/>
        <w:spacing w:after="40"/>
      </w:pPr>
      <w:r>
        <w:t>Support escalation rota, incident ownership, dispatch manual fallback and customer communication templates confirmed.</w:t>
      </w:r>
    </w:p>
    <w:p>
      <w:pPr>
        <w:pStyle w:val="ListBullet"/>
        <w:spacing w:after="40"/>
      </w:pPr>
      <w:r>
        <w:t>Privacy notice, terms, POPIA process, retention rules and incident response reviewed by the accountable legal/privacy owner.</w:t>
      </w:r>
    </w:p>
    <w:p>
      <w:pPr>
        <w:pStyle w:val="ListBullet"/>
        <w:spacing w:after="40"/>
      </w:pPr>
      <w:r>
        <w:t>Dashboards and alerts cover API errors, payment failures, message backlog, assignment delays, location freshness and crash rates.</w:t>
      </w:r>
    </w:p>
    <w:p>
      <w:pPr>
        <w:pStyle w:val="ListBullet"/>
        <w:spacing w:after="40"/>
      </w:pPr>
      <w:r>
        <w:t>Rollback or disablement plan exists for each major feature and third-party dependency.</w:t>
      </w:r>
    </w:p>
    <w:p>
      <w:pPr>
        <w:pStyle w:val="Heading1"/>
        <w:keepNext/>
      </w:pPr>
      <w:r>
        <w:t>15. Decisions required before sprint commitment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944"/>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Decision</w:t>
            </w:r>
          </w:p>
        </w:tc>
        <w:tc>
          <w:tcPr>
            <w:tcW w:type="dxa" w:w="396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Why it matters</w:t>
            </w:r>
          </w:p>
        </w:tc>
        <w:tc>
          <w:tcPr>
            <w:tcW w:type="dxa" w:w="4032"/>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Suggested default</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6"/>
              </w:rPr>
              <w:t>Launch geography and hours</w:t>
            </w:r>
          </w:p>
        </w:tc>
        <w:tc>
          <w:tcPr>
            <w:tcW w:type="dxa" w:w="3960"/>
            <w:vAlign w:val="center"/>
            <w:tcMar>
              <w:top w:w="80" w:type="dxa"/>
              <w:start w:w="95" w:type="dxa"/>
              <w:bottom w:w="80" w:type="dxa"/>
              <w:end w:w="95" w:type="dxa"/>
            </w:tcMar>
          </w:tcPr>
          <w:p>
            <w:pPr>
              <w:spacing w:after="0" w:line="240" w:lineRule="auto"/>
            </w:pPr>
            <w:r/>
            <w:r>
              <w:rPr>
                <w:rFonts w:ascii="Aptos" w:hAnsi="Aptos" w:eastAsia="Aptos"/>
                <w:b w:val="0"/>
                <w:color w:val="1F2937"/>
                <w:sz w:val="16"/>
              </w:rPr>
              <w:t>Affects routing, service polygons, staffing and ETA promises.</w:t>
            </w:r>
          </w:p>
        </w:tc>
        <w:tc>
          <w:tcPr>
            <w:tcW w:type="dxa" w:w="4032"/>
            <w:vAlign w:val="center"/>
            <w:tcMar>
              <w:top w:w="80" w:type="dxa"/>
              <w:start w:w="95" w:type="dxa"/>
              <w:bottom w:w="80" w:type="dxa"/>
              <w:end w:w="95" w:type="dxa"/>
            </w:tcMar>
          </w:tcPr>
          <w:p>
            <w:pPr>
              <w:spacing w:after="0" w:line="240" w:lineRule="auto"/>
            </w:pPr>
            <w:r/>
            <w:r>
              <w:rPr>
                <w:rFonts w:ascii="Aptos" w:hAnsi="Aptos" w:eastAsia="Aptos"/>
                <w:b w:val="0"/>
                <w:color w:val="1F2937"/>
                <w:sz w:val="16"/>
              </w:rPr>
              <w:t>One defined metro area and operating schedule for pilot.</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Pricing and payment model</w:t>
            </w:r>
          </w:p>
        </w:tc>
        <w:tc>
          <w:tcPr>
            <w:tcW w:type="dxa" w:w="39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Determines payment timing, cancellation fees, refund flow and reconciliation.</w:t>
            </w:r>
          </w:p>
        </w:tc>
        <w:tc>
          <w:tcPr>
            <w:tcW w:type="dxa" w:w="40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Prepay by provider-supported method; defer cash until control process is signed off.</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6"/>
              </w:rPr>
              <w:t>Rider operating model</w:t>
            </w:r>
          </w:p>
        </w:tc>
        <w:tc>
          <w:tcPr>
            <w:tcW w:type="dxa" w:w="3960"/>
            <w:vAlign w:val="center"/>
            <w:tcMar>
              <w:top w:w="80" w:type="dxa"/>
              <w:start w:w="95" w:type="dxa"/>
              <w:bottom w:w="80" w:type="dxa"/>
              <w:end w:w="95" w:type="dxa"/>
            </w:tcMar>
          </w:tcPr>
          <w:p>
            <w:pPr>
              <w:spacing w:after="0" w:line="240" w:lineRule="auto"/>
            </w:pPr>
            <w:r/>
            <w:r>
              <w:rPr>
                <w:rFonts w:ascii="Aptos" w:hAnsi="Aptos" w:eastAsia="Aptos"/>
                <w:b w:val="0"/>
                <w:color w:val="1F2937"/>
                <w:sz w:val="16"/>
              </w:rPr>
              <w:t>Affects onboarding, payouts, insurance, employment/contracting and incident management.</w:t>
            </w:r>
          </w:p>
        </w:tc>
        <w:tc>
          <w:tcPr>
            <w:tcW w:type="dxa" w:w="4032"/>
            <w:vAlign w:val="center"/>
            <w:tcMar>
              <w:top w:w="80" w:type="dxa"/>
              <w:start w:w="95" w:type="dxa"/>
              <w:bottom w:w="80" w:type="dxa"/>
              <w:end w:w="95" w:type="dxa"/>
            </w:tcMar>
          </w:tcPr>
          <w:p>
            <w:pPr>
              <w:spacing w:after="0" w:line="240" w:lineRule="auto"/>
            </w:pPr>
            <w:r/>
            <w:r>
              <w:rPr>
                <w:rFonts w:ascii="Aptos" w:hAnsi="Aptos" w:eastAsia="Aptos"/>
                <w:b w:val="0"/>
                <w:color w:val="1F2937"/>
                <w:sz w:val="16"/>
              </w:rPr>
              <w:t>Require approved rider and motorcycle status before dispatch.</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Capacity and parcel policy</w:t>
            </w:r>
          </w:p>
        </w:tc>
        <w:tc>
          <w:tcPr>
            <w:tcW w:type="dxa" w:w="39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Prevents unsafe/unsuitable delivery jobs.</w:t>
            </w:r>
          </w:p>
        </w:tc>
        <w:tc>
          <w:tcPr>
            <w:tcW w:type="dxa" w:w="40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Configure limits by parcel category and approved motorcycle type.</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6"/>
              </w:rPr>
              <w:t>Map provider</w:t>
            </w:r>
          </w:p>
        </w:tc>
        <w:tc>
          <w:tcPr>
            <w:tcW w:type="dxa" w:w="3960"/>
            <w:vAlign w:val="center"/>
            <w:tcMar>
              <w:top w:w="80" w:type="dxa"/>
              <w:start w:w="95" w:type="dxa"/>
              <w:bottom w:w="80" w:type="dxa"/>
              <w:end w:w="95" w:type="dxa"/>
            </w:tcMar>
          </w:tcPr>
          <w:p>
            <w:pPr>
              <w:spacing w:after="0" w:line="240" w:lineRule="auto"/>
            </w:pPr>
            <w:r/>
            <w:r>
              <w:rPr>
                <w:rFonts w:ascii="Aptos" w:hAnsi="Aptos" w:eastAsia="Aptos"/>
                <w:b w:val="0"/>
                <w:color w:val="1F2937"/>
                <w:sz w:val="16"/>
              </w:rPr>
              <w:t>Coverage and pricing affect cost and UX.</w:t>
            </w:r>
          </w:p>
        </w:tc>
        <w:tc>
          <w:tcPr>
            <w:tcW w:type="dxa" w:w="4032"/>
            <w:vAlign w:val="center"/>
            <w:tcMar>
              <w:top w:w="80" w:type="dxa"/>
              <w:start w:w="95" w:type="dxa"/>
              <w:bottom w:w="80" w:type="dxa"/>
              <w:end w:w="95" w:type="dxa"/>
            </w:tcMar>
          </w:tcPr>
          <w:p>
            <w:pPr>
              <w:spacing w:after="0" w:line="240" w:lineRule="auto"/>
            </w:pPr>
            <w:r/>
            <w:r>
              <w:rPr>
                <w:rFonts w:ascii="Aptos" w:hAnsi="Aptos" w:eastAsia="Aptos"/>
                <w:b w:val="0"/>
                <w:color w:val="1F2937"/>
                <w:sz w:val="16"/>
              </w:rPr>
              <w:t>Compare local geocoding, route accuracy, motorcycle restrictions, terms and cost.</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Cloud provider</w:t>
            </w:r>
          </w:p>
        </w:tc>
        <w:tc>
          <w:tcPr>
            <w:tcW w:type="dxa" w:w="39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Determines managed messaging, monitoring, secrets and container platform.</w:t>
            </w:r>
          </w:p>
        </w:tc>
        <w:tc>
          <w:tcPr>
            <w:tcW w:type="dxa" w:w="40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Choose one main cloud for MVP.</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6"/>
              </w:rPr>
              <w:t>Service deployment granularity</w:t>
            </w:r>
          </w:p>
        </w:tc>
        <w:tc>
          <w:tcPr>
            <w:tcW w:type="dxa" w:w="3960"/>
            <w:vAlign w:val="center"/>
            <w:tcMar>
              <w:top w:w="80" w:type="dxa"/>
              <w:start w:w="95" w:type="dxa"/>
              <w:bottom w:w="80" w:type="dxa"/>
              <w:end w:w="95" w:type="dxa"/>
            </w:tcMar>
          </w:tcPr>
          <w:p>
            <w:pPr>
              <w:spacing w:after="0" w:line="240" w:lineRule="auto"/>
            </w:pPr>
            <w:r/>
            <w:r>
              <w:rPr>
                <w:rFonts w:ascii="Aptos" w:hAnsi="Aptos" w:eastAsia="Aptos"/>
                <w:b w:val="0"/>
                <w:color w:val="1F2937"/>
                <w:sz w:val="16"/>
              </w:rPr>
              <w:t>Too many services increase operational cost; too few weaken ownership.</w:t>
            </w:r>
          </w:p>
        </w:tc>
        <w:tc>
          <w:tcPr>
            <w:tcW w:type="dxa" w:w="4032"/>
            <w:vAlign w:val="center"/>
            <w:tcMar>
              <w:top w:w="80" w:type="dxa"/>
              <w:start w:w="95" w:type="dxa"/>
              <w:bottom w:w="80" w:type="dxa"/>
              <w:end w:w="95" w:type="dxa"/>
            </w:tcMar>
          </w:tcPr>
          <w:p>
            <w:pPr>
              <w:spacing w:after="0" w:line="240" w:lineRule="auto"/>
            </w:pPr>
            <w:r/>
            <w:r>
              <w:rPr>
                <w:rFonts w:ascii="Aptos" w:hAnsi="Aptos" w:eastAsia="Aptos"/>
                <w:b w:val="0"/>
                <w:color w:val="1F2937"/>
                <w:sz w:val="16"/>
              </w:rPr>
              <w:t>Begin with modular, independently testable service boundaries; split deployables where scaling or ownership justifies it.</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Peak volume forecast</w:t>
            </w:r>
          </w:p>
        </w:tc>
        <w:tc>
          <w:tcPr>
            <w:tcW w:type="dxa" w:w="39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Required for capacity planning and performance test limits.</w:t>
            </w:r>
          </w:p>
        </w:tc>
        <w:tc>
          <w:tcPr>
            <w:tcW w:type="dxa" w:w="40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Obtain 12-month order forecast, peak-hour factor and active rider estimate.</w:t>
            </w:r>
          </w:p>
        </w:tc>
      </w:tr>
      <w:tr>
        <w:trPr>
          <w:cantSplit/>
        </w:trPr>
        <w:tc>
          <w:tcPr>
            <w:tcW w:type="dxa" w:w="1944"/>
            <w:vAlign w:val="center"/>
            <w:tcMar>
              <w:top w:w="80" w:type="dxa"/>
              <w:start w:w="95" w:type="dxa"/>
              <w:bottom w:w="80" w:type="dxa"/>
              <w:end w:w="95" w:type="dxa"/>
            </w:tcMar>
          </w:tcPr>
          <w:p>
            <w:pPr>
              <w:spacing w:after="0" w:line="240" w:lineRule="auto"/>
            </w:pPr>
            <w:r/>
            <w:r>
              <w:rPr>
                <w:rFonts w:ascii="Aptos" w:hAnsi="Aptos" w:eastAsia="Aptos"/>
                <w:b w:val="0"/>
                <w:color w:val="1F2937"/>
                <w:sz w:val="16"/>
              </w:rPr>
              <w:t>Data retention periods</w:t>
            </w:r>
          </w:p>
        </w:tc>
        <w:tc>
          <w:tcPr>
            <w:tcW w:type="dxa" w:w="3960"/>
            <w:vAlign w:val="center"/>
            <w:tcMar>
              <w:top w:w="80" w:type="dxa"/>
              <w:start w:w="95" w:type="dxa"/>
              <w:bottom w:w="80" w:type="dxa"/>
              <w:end w:w="95" w:type="dxa"/>
            </w:tcMar>
          </w:tcPr>
          <w:p>
            <w:pPr>
              <w:spacing w:after="0" w:line="240" w:lineRule="auto"/>
            </w:pPr>
            <w:r/>
            <w:r>
              <w:rPr>
                <w:rFonts w:ascii="Aptos" w:hAnsi="Aptos" w:eastAsia="Aptos"/>
                <w:b w:val="0"/>
                <w:color w:val="1F2937"/>
                <w:sz w:val="16"/>
              </w:rPr>
              <w:t>Required for privacy, evidence and records management.</w:t>
            </w:r>
          </w:p>
        </w:tc>
        <w:tc>
          <w:tcPr>
            <w:tcW w:type="dxa" w:w="4032"/>
            <w:vAlign w:val="center"/>
            <w:tcMar>
              <w:top w:w="80" w:type="dxa"/>
              <w:start w:w="95" w:type="dxa"/>
              <w:bottom w:w="80" w:type="dxa"/>
              <w:end w:w="95" w:type="dxa"/>
            </w:tcMar>
          </w:tcPr>
          <w:p>
            <w:pPr>
              <w:spacing w:after="0" w:line="240" w:lineRule="auto"/>
            </w:pPr>
            <w:r/>
            <w:r>
              <w:rPr>
                <w:rFonts w:ascii="Aptos" w:hAnsi="Aptos" w:eastAsia="Aptos"/>
                <w:b w:val="0"/>
                <w:color w:val="1F2937"/>
                <w:sz w:val="16"/>
              </w:rPr>
              <w:t>Legal/privacy owner approves a retention matrix before launch.</w:t>
            </w:r>
          </w:p>
        </w:tc>
      </w:tr>
      <w:tr>
        <w:trPr>
          <w:cantSplit/>
        </w:trPr>
        <w:tc>
          <w:tcPr>
            <w:tcW w:type="dxa" w:w="1944"/>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Support and incident coverage</w:t>
            </w:r>
          </w:p>
        </w:tc>
        <w:tc>
          <w:tcPr>
            <w:tcW w:type="dxa" w:w="39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Defines real operational support outside development hours.</w:t>
            </w:r>
          </w:p>
        </w:tc>
        <w:tc>
          <w:tcPr>
            <w:tcW w:type="dxa" w:w="4032"/>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Name primary and backup owners and an explicit fallback process.</w:t>
            </w:r>
          </w:p>
        </w:tc>
      </w:tr>
    </w:tbl>
    <w:p>
      <w:pPr>
        <w:spacing w:after="0"/>
      </w:pPr>
    </w:p>
    <w:p>
      <w:r>
        <w:br w:type="page"/>
      </w:r>
    </w:p>
    <w:p>
      <w:pPr>
        <w:pStyle w:val="Heading1"/>
        <w:keepNext/>
      </w:pPr>
      <w:r>
        <w:t>Appendix A. UI concept boards</w:t>
      </w:r>
    </w:p>
    <w:p>
      <w:r>
        <w:t>The following visual boards communicate the design direction. Rebuild them as real Figma or equivalent design artefacts before development. Text in generated visual references is illustrative and should not be treated as approved interface copy.</w:t>
      </w:r>
    </w:p>
    <w:p>
      <w:pPr>
        <w:jc w:val="center"/>
      </w:pPr>
      <w:r>
        <w:drawing>
          <wp:inline xmlns:a="http://schemas.openxmlformats.org/drawingml/2006/main" xmlns:pic="http://schemas.openxmlformats.org/drawingml/2006/picture">
            <wp:extent cx="6172200" cy="4114800"/>
            <wp:docPr id="3" name="Picture 3"/>
            <wp:cNvGraphicFramePr>
              <a:graphicFrameLocks noChangeAspect="1"/>
            </wp:cNvGraphicFramePr>
            <a:graphic>
              <a:graphicData uri="http://schemas.openxmlformats.org/drawingml/2006/picture">
                <pic:pic>
                  <pic:nvPicPr>
                    <pic:cNvPr id="0" name="a_clean_flat_modern_ui_ux_showcase_image_a_larg.png"/>
                    <pic:cNvPicPr/>
                  </pic:nvPicPr>
                  <pic:blipFill>
                    <a:blip r:embed="rId11"/>
                    <a:stretch>
                      <a:fillRect/>
                    </a:stretch>
                  </pic:blipFill>
                  <pic:spPr>
                    <a:xfrm>
                      <a:off x="0" y="0"/>
                      <a:ext cx="6172200" cy="4114800"/>
                    </a:xfrm>
                    <a:prstGeom prst="rect"/>
                  </pic:spPr>
                </pic:pic>
              </a:graphicData>
            </a:graphic>
          </wp:inline>
        </w:drawing>
      </w:r>
    </w:p>
    <w:p>
      <w:pPr>
        <w:pStyle w:val="SmallNote"/>
      </w:pPr>
      <w:r>
        <w:t>Concept board A. Customer and rider mobile screens with the main operations views.</w:t>
      </w:r>
    </w:p>
    <w:p>
      <w:r>
        <w:br w:type="page"/>
      </w:r>
    </w:p>
    <w:p>
      <w:pPr>
        <w:jc w:val="center"/>
      </w:pPr>
      <w:r>
        <w:drawing>
          <wp:inline xmlns:a="http://schemas.openxmlformats.org/drawingml/2006/main" xmlns:pic="http://schemas.openxmlformats.org/drawingml/2006/picture">
            <wp:extent cx="6172200" cy="4114800"/>
            <wp:docPr id="4" name="Picture 4"/>
            <wp:cNvGraphicFramePr>
              <a:graphicFrameLocks noChangeAspect="1"/>
            </wp:cNvGraphicFramePr>
            <a:graphic>
              <a:graphicData uri="http://schemas.openxmlformats.org/drawingml/2006/picture">
                <pic:pic>
                  <pic:nvPicPr>
                    <pic:cNvPr id="0" name="a_clean_high_resolution_infographic_style_produc.png"/>
                    <pic:cNvPicPr/>
                  </pic:nvPicPr>
                  <pic:blipFill>
                    <a:blip r:embed="rId12"/>
                    <a:stretch>
                      <a:fillRect/>
                    </a:stretch>
                  </pic:blipFill>
                  <pic:spPr>
                    <a:xfrm>
                      <a:off x="0" y="0"/>
                      <a:ext cx="6172200" cy="4114800"/>
                    </a:xfrm>
                    <a:prstGeom prst="rect"/>
                  </pic:spPr>
                </pic:pic>
              </a:graphicData>
            </a:graphic>
          </wp:inline>
        </w:drawing>
      </w:r>
    </w:p>
    <w:p>
      <w:pPr>
        <w:pStyle w:val="SmallNote"/>
      </w:pPr>
      <w:r>
        <w:t>Concept board B. Expanded customer booking/payment flow, rider active-delivery flow and system overview.</w:t>
      </w:r>
    </w:p>
    <w:p>
      <w:pPr>
        <w:pStyle w:val="Heading1"/>
        <w:keepNext/>
      </w:pPr>
      <w:r>
        <w:t>Appendix B. Glossary</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2160"/>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Term</w:t>
            </w:r>
          </w:p>
        </w:tc>
        <w:tc>
          <w:tcPr>
            <w:tcW w:type="dxa" w:w="7776"/>
            <w:vAlign w:val="center"/>
            <w:tcMar>
              <w:top w:w="80" w:type="dxa"/>
              <w:start w:w="95" w:type="dxa"/>
              <w:bottom w:w="80" w:type="dxa"/>
              <w:end w:w="95" w:type="dxa"/>
            </w:tcMar>
            <w:shd w:fill="12304A"/>
          </w:tcPr>
          <w:p>
            <w:pPr>
              <w:spacing w:after="0" w:line="240" w:lineRule="auto"/>
            </w:pPr>
            <w:r/>
            <w:r>
              <w:rPr>
                <w:rFonts w:ascii="Aptos" w:hAnsi="Aptos" w:eastAsia="Aptos"/>
                <w:b/>
                <w:color w:val="FFFFFF"/>
                <w:sz w:val="16"/>
              </w:rPr>
              <w:t>Meaning</w:t>
            </w:r>
          </w:p>
        </w:tc>
      </w:tr>
      <w:tr>
        <w:trPr>
          <w:cantSplit/>
        </w:trPr>
        <w:tc>
          <w:tcPr>
            <w:tcW w:type="dxa" w:w="2160"/>
            <w:vAlign w:val="center"/>
            <w:tcMar>
              <w:top w:w="80" w:type="dxa"/>
              <w:start w:w="95" w:type="dxa"/>
              <w:bottom w:w="80" w:type="dxa"/>
              <w:end w:w="95" w:type="dxa"/>
            </w:tcMar>
          </w:tcPr>
          <w:p>
            <w:pPr>
              <w:spacing w:after="0" w:line="240" w:lineRule="auto"/>
            </w:pPr>
            <w:r/>
            <w:r>
              <w:rPr>
                <w:rFonts w:ascii="Aptos" w:hAnsi="Aptos" w:eastAsia="Aptos"/>
                <w:b w:val="0"/>
                <w:color w:val="1F2937"/>
                <w:sz w:val="16"/>
              </w:rPr>
              <w:t>ETA</w:t>
            </w:r>
          </w:p>
        </w:tc>
        <w:tc>
          <w:tcPr>
            <w:tcW w:type="dxa" w:w="7776"/>
            <w:vAlign w:val="center"/>
            <w:tcMar>
              <w:top w:w="80" w:type="dxa"/>
              <w:start w:w="95" w:type="dxa"/>
              <w:bottom w:w="80" w:type="dxa"/>
              <w:end w:w="95" w:type="dxa"/>
            </w:tcMar>
          </w:tcPr>
          <w:p>
            <w:pPr>
              <w:spacing w:after="0" w:line="240" w:lineRule="auto"/>
            </w:pPr>
            <w:r/>
            <w:r>
              <w:rPr>
                <w:rFonts w:ascii="Aptos" w:hAnsi="Aptos" w:eastAsia="Aptos"/>
                <w:b w:val="0"/>
                <w:color w:val="1F2937"/>
                <w:sz w:val="16"/>
              </w:rPr>
              <w:t>Estimated time of arrival.</w:t>
            </w:r>
          </w:p>
        </w:tc>
      </w:tr>
      <w:tr>
        <w:trPr>
          <w:cantSplit/>
        </w:trPr>
        <w:tc>
          <w:tcPr>
            <w:tcW w:type="dxa" w:w="21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Idempotency key</w:t>
            </w:r>
          </w:p>
        </w:tc>
        <w:tc>
          <w:tcPr>
            <w:tcW w:type="dxa" w:w="77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Client-supplied unique key used to avoid duplicate side effects when retrying the same request.</w:t>
            </w:r>
          </w:p>
        </w:tc>
      </w:tr>
      <w:tr>
        <w:trPr>
          <w:cantSplit/>
        </w:trPr>
        <w:tc>
          <w:tcPr>
            <w:tcW w:type="dxa" w:w="2160"/>
            <w:vAlign w:val="center"/>
            <w:tcMar>
              <w:top w:w="80" w:type="dxa"/>
              <w:start w:w="95" w:type="dxa"/>
              <w:bottom w:w="80" w:type="dxa"/>
              <w:end w:w="95" w:type="dxa"/>
            </w:tcMar>
          </w:tcPr>
          <w:p>
            <w:pPr>
              <w:spacing w:after="0" w:line="240" w:lineRule="auto"/>
            </w:pPr>
            <w:r/>
            <w:r>
              <w:rPr>
                <w:rFonts w:ascii="Aptos" w:hAnsi="Aptos" w:eastAsia="Aptos"/>
                <w:b w:val="0"/>
                <w:color w:val="1F2937"/>
                <w:sz w:val="16"/>
              </w:rPr>
              <w:t>Outbox pattern</w:t>
            </w:r>
          </w:p>
        </w:tc>
        <w:tc>
          <w:tcPr>
            <w:tcW w:type="dxa" w:w="7776"/>
            <w:vAlign w:val="center"/>
            <w:tcMar>
              <w:top w:w="80" w:type="dxa"/>
              <w:start w:w="95" w:type="dxa"/>
              <w:bottom w:w="80" w:type="dxa"/>
              <w:end w:w="95" w:type="dxa"/>
            </w:tcMar>
          </w:tcPr>
          <w:p>
            <w:pPr>
              <w:spacing w:after="0" w:line="240" w:lineRule="auto"/>
            </w:pPr>
            <w:r/>
            <w:r>
              <w:rPr>
                <w:rFonts w:ascii="Aptos" w:hAnsi="Aptos" w:eastAsia="Aptos"/>
                <w:b w:val="0"/>
                <w:color w:val="1F2937"/>
                <w:sz w:val="16"/>
              </w:rPr>
              <w:t>A method for committing business data and an event record in the same database transaction before publishing the event.</w:t>
            </w:r>
          </w:p>
        </w:tc>
      </w:tr>
      <w:tr>
        <w:trPr>
          <w:cantSplit/>
        </w:trPr>
        <w:tc>
          <w:tcPr>
            <w:tcW w:type="dxa" w:w="21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Proof of delivery</w:t>
            </w:r>
          </w:p>
        </w:tc>
        <w:tc>
          <w:tcPr>
            <w:tcW w:type="dxa" w:w="77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Evidence used to confirm the parcel reached the authorised recipient or destination.</w:t>
            </w:r>
          </w:p>
        </w:tc>
      </w:tr>
      <w:tr>
        <w:trPr>
          <w:cantSplit/>
        </w:trPr>
        <w:tc>
          <w:tcPr>
            <w:tcW w:type="dxa" w:w="2160"/>
            <w:vAlign w:val="center"/>
            <w:tcMar>
              <w:top w:w="80" w:type="dxa"/>
              <w:start w:w="95" w:type="dxa"/>
              <w:bottom w:w="80" w:type="dxa"/>
              <w:end w:w="95" w:type="dxa"/>
            </w:tcMar>
          </w:tcPr>
          <w:p>
            <w:pPr>
              <w:spacing w:after="0" w:line="240" w:lineRule="auto"/>
            </w:pPr>
            <w:r/>
            <w:r>
              <w:rPr>
                <w:rFonts w:ascii="Aptos" w:hAnsi="Aptos" w:eastAsia="Aptos"/>
                <w:b w:val="0"/>
                <w:color w:val="1F2937"/>
                <w:sz w:val="16"/>
              </w:rPr>
              <w:t>Service area</w:t>
            </w:r>
          </w:p>
        </w:tc>
        <w:tc>
          <w:tcPr>
            <w:tcW w:type="dxa" w:w="7776"/>
            <w:vAlign w:val="center"/>
            <w:tcMar>
              <w:top w:w="80" w:type="dxa"/>
              <w:start w:w="95" w:type="dxa"/>
              <w:bottom w:w="80" w:type="dxa"/>
              <w:end w:w="95" w:type="dxa"/>
            </w:tcMar>
          </w:tcPr>
          <w:p>
            <w:pPr>
              <w:spacing w:after="0" w:line="240" w:lineRule="auto"/>
            </w:pPr>
            <w:r/>
            <w:r>
              <w:rPr>
                <w:rFonts w:ascii="Aptos" w:hAnsi="Aptos" w:eastAsia="Aptos"/>
                <w:b w:val="0"/>
                <w:color w:val="1F2937"/>
                <w:sz w:val="16"/>
              </w:rPr>
              <w:t>A defined geographic zone with operating and pricing rules.</w:t>
            </w:r>
          </w:p>
        </w:tc>
      </w:tr>
      <w:tr>
        <w:trPr>
          <w:cantSplit/>
        </w:trPr>
        <w:tc>
          <w:tcPr>
            <w:tcW w:type="dxa" w:w="21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Stale location</w:t>
            </w:r>
          </w:p>
        </w:tc>
        <w:tc>
          <w:tcPr>
            <w:tcW w:type="dxa" w:w="77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A GPS position older than the configured freshness threshold.</w:t>
            </w:r>
          </w:p>
        </w:tc>
      </w:tr>
      <w:tr>
        <w:trPr>
          <w:cantSplit/>
        </w:trPr>
        <w:tc>
          <w:tcPr>
            <w:tcW w:type="dxa" w:w="2160"/>
            <w:vAlign w:val="center"/>
            <w:tcMar>
              <w:top w:w="80" w:type="dxa"/>
              <w:start w:w="95" w:type="dxa"/>
              <w:bottom w:w="80" w:type="dxa"/>
              <w:end w:w="95" w:type="dxa"/>
            </w:tcMar>
          </w:tcPr>
          <w:p>
            <w:pPr>
              <w:spacing w:after="0" w:line="240" w:lineRule="auto"/>
            </w:pPr>
            <w:r/>
            <w:r>
              <w:rPr>
                <w:rFonts w:ascii="Aptos" w:hAnsi="Aptos" w:eastAsia="Aptos"/>
                <w:b w:val="0"/>
                <w:color w:val="1F2937"/>
                <w:sz w:val="16"/>
              </w:rPr>
              <w:t>Tenant isolation</w:t>
            </w:r>
          </w:p>
        </w:tc>
        <w:tc>
          <w:tcPr>
            <w:tcW w:type="dxa" w:w="7776"/>
            <w:vAlign w:val="center"/>
            <w:tcMar>
              <w:top w:w="80" w:type="dxa"/>
              <w:start w:w="95" w:type="dxa"/>
              <w:bottom w:w="80" w:type="dxa"/>
              <w:end w:w="95" w:type="dxa"/>
            </w:tcMar>
          </w:tcPr>
          <w:p>
            <w:pPr>
              <w:spacing w:after="0" w:line="240" w:lineRule="auto"/>
            </w:pPr>
            <w:r/>
            <w:r>
              <w:rPr>
                <w:rFonts w:ascii="Aptos" w:hAnsi="Aptos" w:eastAsia="Aptos"/>
                <w:b w:val="0"/>
                <w:color w:val="1F2937"/>
                <w:sz w:val="16"/>
              </w:rPr>
              <w:t>Controls that prevent one merchant/business account from accessing another tenant’s data.</w:t>
            </w:r>
          </w:p>
        </w:tc>
      </w:tr>
      <w:tr>
        <w:trPr>
          <w:cantSplit/>
        </w:trPr>
        <w:tc>
          <w:tcPr>
            <w:tcW w:type="dxa" w:w="21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RPO</w:t>
            </w:r>
          </w:p>
        </w:tc>
        <w:tc>
          <w:tcPr>
            <w:tcW w:type="dxa" w:w="77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Recovery point objective, the maximum acceptable data loss measured in time.</w:t>
            </w:r>
          </w:p>
        </w:tc>
      </w:tr>
      <w:tr>
        <w:trPr>
          <w:cantSplit/>
        </w:trPr>
        <w:tc>
          <w:tcPr>
            <w:tcW w:type="dxa" w:w="2160"/>
            <w:vAlign w:val="center"/>
            <w:tcMar>
              <w:top w:w="80" w:type="dxa"/>
              <w:start w:w="95" w:type="dxa"/>
              <w:bottom w:w="80" w:type="dxa"/>
              <w:end w:w="95" w:type="dxa"/>
            </w:tcMar>
          </w:tcPr>
          <w:p>
            <w:pPr>
              <w:spacing w:after="0" w:line="240" w:lineRule="auto"/>
            </w:pPr>
            <w:r/>
            <w:r>
              <w:rPr>
                <w:rFonts w:ascii="Aptos" w:hAnsi="Aptos" w:eastAsia="Aptos"/>
                <w:b w:val="0"/>
                <w:color w:val="1F2937"/>
                <w:sz w:val="16"/>
              </w:rPr>
              <w:t>RTO</w:t>
            </w:r>
          </w:p>
        </w:tc>
        <w:tc>
          <w:tcPr>
            <w:tcW w:type="dxa" w:w="7776"/>
            <w:vAlign w:val="center"/>
            <w:tcMar>
              <w:top w:w="80" w:type="dxa"/>
              <w:start w:w="95" w:type="dxa"/>
              <w:bottom w:w="80" w:type="dxa"/>
              <w:end w:w="95" w:type="dxa"/>
            </w:tcMar>
          </w:tcPr>
          <w:p>
            <w:pPr>
              <w:spacing w:after="0" w:line="240" w:lineRule="auto"/>
            </w:pPr>
            <w:r/>
            <w:r>
              <w:rPr>
                <w:rFonts w:ascii="Aptos" w:hAnsi="Aptos" w:eastAsia="Aptos"/>
                <w:b w:val="0"/>
                <w:color w:val="1F2937"/>
                <w:sz w:val="16"/>
              </w:rPr>
              <w:t>Recovery time objective, the target time to restore a service after disruption.</w:t>
            </w:r>
          </w:p>
        </w:tc>
      </w:tr>
      <w:tr>
        <w:trPr>
          <w:cantSplit/>
        </w:trPr>
        <w:tc>
          <w:tcPr>
            <w:tcW w:type="dxa" w:w="2160"/>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POPIA</w:t>
            </w:r>
          </w:p>
        </w:tc>
        <w:tc>
          <w:tcPr>
            <w:tcW w:type="dxa" w:w="7776"/>
            <w:vAlign w:val="center"/>
            <w:tcMar>
              <w:top w:w="80" w:type="dxa"/>
              <w:start w:w="95" w:type="dxa"/>
              <w:bottom w:w="80" w:type="dxa"/>
              <w:end w:w="95" w:type="dxa"/>
            </w:tcMar>
            <w:shd w:fill="F5F8FA"/>
          </w:tcPr>
          <w:p>
            <w:pPr>
              <w:spacing w:after="0" w:line="240" w:lineRule="auto"/>
            </w:pPr>
            <w:r/>
            <w:r>
              <w:rPr>
                <w:rFonts w:ascii="Aptos" w:hAnsi="Aptos" w:eastAsia="Aptos"/>
                <w:b w:val="0"/>
                <w:color w:val="1F2937"/>
                <w:sz w:val="16"/>
              </w:rPr>
              <w:t>South Africa’s Protection of Personal Information Act.</w:t>
            </w:r>
          </w:p>
        </w:tc>
      </w:tr>
    </w:tbl>
    <w:p>
      <w:pPr>
        <w:spacing w:after="0"/>
      </w:pPr>
    </w:p>
    <w:sectPr w:rsidR="00FC693F" w:rsidRPr="0006063C" w:rsidSect="00034616">
      <w:headerReference w:type="default" r:id="rId9"/>
      <w:footerReference w:type="default" r:id="rId10"/>
      <w:headerReference w:type="first" r:id="rId13"/>
      <w:footerReference w:type="first" r:id="rId14"/>
      <w:pgSz w:w="12240" w:h="15840"/>
      <w:pgMar w:top="979" w:right="1037" w:bottom="936"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 xml:space="preserve">Product specification  |  Version 1.0  |  22 October 2026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color w:val="0F766E"/>
        <w:sz w:val="15"/>
      </w:rPr>
      <w:t>SWIFTRIDE  |  PRODUCT REQUIREMENTS AND TECHNICAL DESIGN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eastAsia="Aptos Display"/>
      <w:b/>
      <w:bCs/>
      <w:color w:val="12304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eastAsia="Aptos"/>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eastAsia="Aptos"/>
      <w:b/>
      <w:bCs/>
      <w:color w:val="1230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1230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i/>
      <w:color w:val="5B6673"/>
      <w:sz w:val="16"/>
    </w:rPr>
  </w:style>
  <w:style w:type="paragraph" w:customStyle="1" w:styleId="CodeText">
    <w:name w:val="Code Text"/>
    <w:pPr>
      <w:spacing w:after="0" w:line="240" w:lineRule="auto"/>
      <w:ind w:left="259"/>
    </w:pPr>
    <w:rPr>
      <w:rFonts w:ascii="Consolas" w:hAnsi="Consolas" w:eastAsia="Consolas"/>
      <w:color w:val="12304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Motorcycle Delivery Platform Product Specification</dc:title>
  <dc:subject>Product requirements, UX screen specification, API contracts and C# microservices architecture</dc:subject>
  <dc:creator>Product and Engineering</dc:creator>
  <cp:keywords>motorcycle delivery, React Native, Angular, C#, microservices, product requirements</cp:keywords>
  <dc:description>generated by python-docx</dc:description>
  <cp:lastModifiedBy/>
  <cp:revision>1</cp:revision>
  <dcterms:created xsi:type="dcterms:W3CDTF">2013-12-23T23:15:00Z</dcterms:created>
  <dcterms:modified xsi:type="dcterms:W3CDTF">2013-12-23T23:15:00Z</dcterms:modified>
  <cp:category/>
</cp:coreProperties>
</file>