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i w:val="0"/>
          <w:color w:val="000000"/>
          <w:sz w:val="40"/>
        </w:rPr>
        <w:t>Data Warehouse &amp; Business Intelligence Solutions</w:t>
      </w:r>
    </w:p>
    <w:p>
      <w:pPr>
        <w:spacing w:after="360"/>
      </w:pPr>
      <w:r>
        <w:rPr>
          <w:rFonts w:ascii="Calibri" w:hAnsi="Calibri"/>
          <w:b w:val="0"/>
          <w:i/>
          <w:color w:val="646464"/>
          <w:sz w:val="24"/>
        </w:rPr>
        <w:t>Task 3 Solutions &amp; Data Warehousing Concepts</w:t>
      </w:r>
    </w:p>
    <w:p>
      <w:pPr>
        <w:keepNext/>
        <w:spacing w:before="320" w:after="120"/>
      </w:pPr>
      <w:r>
        <w:rPr>
          <w:rFonts w:ascii="Calibri" w:hAnsi="Calibri"/>
          <w:b/>
          <w:i w:val="0"/>
          <w:color w:val="000000"/>
          <w:sz w:val="32"/>
        </w:rPr>
        <w:t>Part 1: Task 3 — No History, and No Single Truth</w:t>
      </w:r>
    </w:p>
    <w:p>
      <w:pPr>
        <w:keepNext/>
        <w:spacing w:before="240" w:after="80"/>
      </w:pPr>
      <w:r>
        <w:rPr>
          <w:rFonts w:ascii="Calibri" w:hAnsi="Calibri"/>
          <w:b/>
          <w:i w:val="0"/>
          <w:color w:val="000000"/>
          <w:sz w:val="26"/>
        </w:rPr>
        <w:t>1. No History — "Where did Ali's sales go?"</w:t>
      </w:r>
    </w:p>
    <w:p>
      <w:pPr>
        <w:pStyle w:val="ListBullet"/>
        <w:spacing w:before="0" w:after="80" w:line="276" w:lineRule="auto"/>
      </w:pPr>
      <w:r>
        <w:rPr>
          <w:rFonts w:ascii="Calibri" w:hAnsi="Calibri"/>
          <w:b/>
          <w:i w:val="0"/>
          <w:color w:val="333333"/>
          <w:sz w:val="22"/>
        </w:rPr>
        <w:t xml:space="preserve">Which of Inmon's four properties this breaks, and why: </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Property broken: </w:t>
      </w:r>
      <w:r>
        <w:rPr>
          <w:rFonts w:ascii="Calibri" w:hAnsi="Calibri"/>
          <w:b w:val="0"/>
          <w:i w:val="0"/>
          <w:color w:val="333333"/>
          <w:sz w:val="22"/>
        </w:rPr>
        <w:t>Time-variant (and Non-volatile).</w:t>
      </w:r>
    </w:p>
    <w:p>
      <w:pPr>
        <w:pStyle w:val="ListBullet"/>
        <w:spacing w:before="0" w:after="80" w:line="276" w:lineRule="auto"/>
      </w:pPr>
      <w:r>
        <w:rPr>
          <w:rFonts w:ascii="Calibri" w:hAnsi="Calibri"/>
          <w:b/>
          <w:i w:val="0"/>
          <w:color w:val="333333"/>
          <w:sz w:val="22"/>
        </w:rPr>
        <w:t xml:space="preserve">Why: </w:t>
      </w:r>
      <w:r>
        <w:rPr>
          <w:rFonts w:ascii="Calibri" w:hAnsi="Calibri"/>
          <w:b w:val="0"/>
          <w:i w:val="0"/>
          <w:color w:val="333333"/>
          <w:sz w:val="22"/>
        </w:rPr>
        <w:t>Inmon defined a data warehouse as Subject-oriented, Integrated, Time-variant, and Non-volatile. Time-variant means every piece of data must represent a specific point in time so historical accuracy is preserved. By overwriting Ali’s branch directly in the live operational database, the historical context of where those sales occurred was permanently erased, making historical reporting impossible.</w:t>
      </w:r>
    </w:p>
    <w:p>
      <w:pPr>
        <w:pStyle w:val="ListBullet"/>
        <w:spacing w:before="0" w:after="80" w:line="276" w:lineRule="auto"/>
      </w:pPr>
      <w:r>
        <w:rPr>
          <w:rFonts w:ascii="Calibri" w:hAnsi="Calibri"/>
          <w:b/>
          <w:i w:val="0"/>
          <w:color w:val="333333"/>
          <w:sz w:val="22"/>
        </w:rPr>
        <w:t>What the warehouse does differently (in plain words):</w:t>
      </w:r>
      <w:r>
        <w:rPr>
          <w:rFonts w:ascii="Calibri" w:hAnsi="Calibri"/>
          <w:b w:val="0"/>
          <w:i w:val="0"/>
          <w:color w:val="333333"/>
          <w:sz w:val="22"/>
        </w:rPr>
      </w:r>
    </w:p>
    <w:p>
      <w:pPr>
        <w:spacing w:after="80"/>
        <w:ind w:left="360"/>
      </w:pPr>
      <w:r>
        <w:rPr>
          <w:rFonts w:ascii="Calibri" w:hAnsi="Calibri"/>
          <w:b w:val="0"/>
          <w:i w:val="0"/>
          <w:color w:val="333333"/>
          <w:sz w:val="22"/>
        </w:rPr>
        <w:t xml:space="preserve">• Instead of overwriting Ali’s old record, a Data Warehouse tracks changes using a method called </w:t>
      </w:r>
      <w:r>
        <w:rPr>
          <w:rFonts w:ascii="Calibri" w:hAnsi="Calibri"/>
          <w:b/>
          <w:i w:val="0"/>
          <w:color w:val="333333"/>
          <w:sz w:val="22"/>
        </w:rPr>
        <w:t>SCD Type 2 (Slowly Changing Dimension Type 2)</w:t>
      </w:r>
      <w:r>
        <w:rPr>
          <w:rFonts w:ascii="Calibri" w:hAnsi="Calibri"/>
          <w:b w:val="0"/>
          <w:i w:val="0"/>
          <w:color w:val="333333"/>
          <w:sz w:val="22"/>
        </w:rPr>
        <w:t>.</w:t>
      </w:r>
    </w:p>
    <w:p>
      <w:pPr>
        <w:spacing w:after="80"/>
        <w:ind w:left="360"/>
      </w:pPr>
      <w:r>
        <w:rPr>
          <w:rFonts w:ascii="Calibri" w:hAnsi="Calibri"/>
          <w:b w:val="0"/>
          <w:i w:val="0"/>
          <w:color w:val="333333"/>
          <w:sz w:val="22"/>
        </w:rPr>
        <w:t>• When Ali moves, the warehouse keeps his old row marked as "Lahore" (valid up to March) and creates a brand-new row marked as "Karachi" (valid from March onward).</w:t>
      </w:r>
    </w:p>
    <w:p>
      <w:pPr>
        <w:spacing w:after="120"/>
        <w:ind w:left="360"/>
      </w:pPr>
      <w:r>
        <w:rPr>
          <w:rFonts w:ascii="Calibri" w:hAnsi="Calibri"/>
          <w:b w:val="0"/>
          <w:i w:val="0"/>
          <w:color w:val="333333"/>
          <w:sz w:val="22"/>
        </w:rPr>
        <w:t>• Each sales transaction is permanently linked to the branch Ali belonged to on the exact date the sale occurred. Therefore, last year's sales remain linked to his "Lahore" record.</w:t>
      </w:r>
    </w:p>
    <w:p>
      <w:pPr>
        <w:pStyle w:val="ListBullet"/>
        <w:spacing w:before="0" w:after="80" w:line="276" w:lineRule="auto"/>
      </w:pPr>
      <w:r>
        <w:rPr>
          <w:rFonts w:ascii="Calibri" w:hAnsi="Calibri"/>
          <w:b/>
          <w:i w:val="0"/>
          <w:color w:val="333333"/>
          <w:sz w:val="22"/>
        </w:rPr>
        <w:t>One other business situation where silently overwriting a value rewrites history:</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Customer Address / Tax Location Change: </w:t>
      </w:r>
      <w:r>
        <w:rPr>
          <w:rFonts w:ascii="Calibri" w:hAnsi="Calibri"/>
          <w:b w:val="0"/>
          <w:i w:val="0"/>
          <w:color w:val="333333"/>
          <w:sz w:val="22"/>
        </w:rPr>
        <w:t>If a customer moves from Punjab to Sindh and their address is overwritten in the operational database, running a historical tax or sales report for last year will incorrectly attribute their past purchases to Sindh instead of Punjab, skewing past tax compliance and regional revenue analysis.</w:t>
      </w:r>
    </w:p>
    <w:p>
      <w:pPr>
        <w:keepNext/>
        <w:spacing w:before="240" w:after="80"/>
      </w:pPr>
      <w:r>
        <w:rPr>
          <w:rFonts w:ascii="Calibri" w:hAnsi="Calibri"/>
          <w:b/>
          <w:i w:val="0"/>
          <w:color w:val="000000"/>
          <w:sz w:val="26"/>
        </w:rPr>
        <w:t>2. No Single Truth — Three Departments, Three Numbers</w:t>
      </w:r>
    </w:p>
    <w:p>
      <w:pPr>
        <w:pStyle w:val="ListBullet"/>
        <w:spacing w:before="0" w:after="80" w:line="276" w:lineRule="auto"/>
      </w:pPr>
      <w:r>
        <w:rPr>
          <w:rFonts w:ascii="Calibri" w:hAnsi="Calibri"/>
          <w:b/>
          <w:i w:val="0"/>
          <w:color w:val="333333"/>
          <w:sz w:val="22"/>
        </w:rPr>
        <w:t>Plausible reason each department gets a different figure without lying or math errors:</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Operations (Rs 661.65 m): </w:t>
      </w:r>
      <w:r>
        <w:rPr>
          <w:rFonts w:ascii="Calibri" w:hAnsi="Calibri"/>
          <w:b w:val="0"/>
          <w:i w:val="0"/>
          <w:color w:val="333333"/>
          <w:sz w:val="22"/>
        </w:rPr>
        <w:t>Counts sales based on Order Placed Date (total volume of orders received, including orders pending shipment or later canceled).</w:t>
      </w:r>
    </w:p>
    <w:p>
      <w:pPr>
        <w:pStyle w:val="ListBullet"/>
        <w:spacing w:before="0" w:after="80" w:line="276" w:lineRule="auto"/>
      </w:pPr>
      <w:r>
        <w:rPr>
          <w:rFonts w:ascii="Calibri" w:hAnsi="Calibri"/>
          <w:b/>
          <w:i w:val="0"/>
          <w:color w:val="333333"/>
          <w:sz w:val="22"/>
        </w:rPr>
        <w:t xml:space="preserve">Sales (Rs 584.75 m): </w:t>
      </w:r>
      <w:r>
        <w:rPr>
          <w:rFonts w:ascii="Calibri" w:hAnsi="Calibri"/>
          <w:b w:val="0"/>
          <w:i w:val="0"/>
          <w:color w:val="333333"/>
          <w:sz w:val="22"/>
        </w:rPr>
        <w:t>Counts sales based on Order Shipped / Delivered Date (actual completed transactions delivered to buyers).</w:t>
      </w:r>
    </w:p>
    <w:p>
      <w:pPr>
        <w:pStyle w:val="ListBullet"/>
        <w:spacing w:before="0" w:after="80" w:line="276" w:lineRule="auto"/>
      </w:pPr>
      <w:r>
        <w:rPr>
          <w:rFonts w:ascii="Calibri" w:hAnsi="Calibri"/>
          <w:b/>
          <w:i w:val="0"/>
          <w:color w:val="333333"/>
          <w:sz w:val="22"/>
        </w:rPr>
        <w:t xml:space="preserve">Finance (Rs 283.70 m): </w:t>
      </w:r>
      <w:r>
        <w:rPr>
          <w:rFonts w:ascii="Calibri" w:hAnsi="Calibri"/>
          <w:b w:val="0"/>
          <w:i w:val="0"/>
          <w:color w:val="333333"/>
          <w:sz w:val="22"/>
        </w:rPr>
        <w:t>Counts sales based on Cash Received / Invoiced Date (revenue recognized after customer payments clear or credit terms settle).</w:t>
      </w:r>
    </w:p>
    <w:p>
      <w:pPr>
        <w:pStyle w:val="ListBullet"/>
        <w:spacing w:before="0" w:after="80" w:line="276" w:lineRule="auto"/>
      </w:pPr>
      <w:r>
        <w:rPr>
          <w:rFonts w:ascii="Calibri" w:hAnsi="Calibri"/>
          <w:b/>
          <w:i w:val="0"/>
          <w:color w:val="333333"/>
          <w:sz w:val="22"/>
        </w:rPr>
        <w:t>What a single staging area changes about this situation:</w:t>
      </w:r>
      <w:r>
        <w:rPr>
          <w:rFonts w:ascii="Calibri" w:hAnsi="Calibri"/>
          <w:b w:val="0"/>
          <w:i w:val="0"/>
          <w:color w:val="333333"/>
          <w:sz w:val="22"/>
        </w:rPr>
      </w:r>
    </w:p>
    <w:p>
      <w:pPr>
        <w:pStyle w:val="ListBullet"/>
        <w:spacing w:before="0" w:after="80" w:line="276" w:lineRule="auto"/>
      </w:pPr>
      <w:r>
        <w:rPr>
          <w:rFonts w:ascii="Calibri" w:hAnsi="Calibri"/>
          <w:b w:val="0"/>
          <w:i w:val="0"/>
          <w:color w:val="333333"/>
          <w:sz w:val="22"/>
        </w:rPr>
        <w:t>A single staging area acts as a centralized data landing zone. It ensures all three departments extract raw operational data from the exact same source at the exact same snapshot time, eliminating discrepancies caused by different extraction times or conflicting raw source tables.</w:t>
      </w:r>
    </w:p>
    <w:p>
      <w:pPr>
        <w:pStyle w:val="ListBullet"/>
        <w:spacing w:before="0" w:after="80" w:line="276" w:lineRule="auto"/>
      </w:pPr>
      <w:r>
        <w:rPr>
          <w:rFonts w:ascii="Calibri" w:hAnsi="Calibri"/>
          <w:b/>
          <w:i w:val="0"/>
          <w:color w:val="333333"/>
          <w:sz w:val="22"/>
        </w:rPr>
        <w:t>Who should own the definition of "sales last month" and why not let each keep its own:</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Who should own it: </w:t>
      </w:r>
      <w:r>
        <w:rPr>
          <w:rFonts w:ascii="Calibri" w:hAnsi="Calibri"/>
          <w:b w:val="0"/>
          <w:i w:val="0"/>
          <w:color w:val="333333"/>
          <w:sz w:val="22"/>
        </w:rPr>
        <w:t>A cross-functional Data Governance Board (led jointly by Finance and Business Analytics executives).</w:t>
      </w:r>
    </w:p>
    <w:p>
      <w:pPr>
        <w:pStyle w:val="ListBullet"/>
        <w:spacing w:before="0" w:after="80" w:line="276" w:lineRule="auto"/>
      </w:pPr>
      <w:r>
        <w:rPr>
          <w:rFonts w:ascii="Calibri" w:hAnsi="Calibri"/>
          <w:b/>
          <w:i w:val="0"/>
          <w:color w:val="333333"/>
          <w:sz w:val="22"/>
        </w:rPr>
        <w:t xml:space="preserve">Why not let each keep its own: </w:t>
      </w:r>
      <w:r>
        <w:rPr>
          <w:rFonts w:ascii="Calibri" w:hAnsi="Calibri"/>
          <w:b w:val="0"/>
          <w:i w:val="0"/>
          <w:color w:val="333333"/>
          <w:sz w:val="22"/>
        </w:rPr>
        <w:t>If every department uses its own definition, executive leadership cannot make unified strategic decisions (e.g., budgeting vs. inventory planning). Centralizing business metrics creates a Single Source of Truth (SSOT) so everyone speaks the same business language.</w:t>
      </w:r>
    </w:p>
    <w:p>
      <w:pPr>
        <w:keepNext/>
        <w:spacing w:before="240" w:after="80"/>
      </w:pPr>
      <w:r>
        <w:rPr>
          <w:rFonts w:ascii="Calibri" w:hAnsi="Calibri"/>
          <w:b/>
          <w:i w:val="0"/>
          <w:color w:val="000000"/>
          <w:sz w:val="26"/>
        </w:rPr>
        <w:t>3. Answer to the Manager (One Paragraph)</w:t>
      </w:r>
    </w:p>
    <w:p>
      <w:pPr>
        <w:spacing w:before="120" w:after="240" w:line="276" w:lineRule="auto"/>
      </w:pPr>
      <w:r>
        <w:rPr>
          <w:rFonts w:ascii="Calibri" w:hAnsi="Calibri"/>
          <w:b w:val="0"/>
          <w:i/>
          <w:color w:val="333333"/>
          <w:sz w:val="22"/>
        </w:rPr>
        <w:t>"We cannot rely solely on our live operational systems for reporting because they are designed for immediate transaction processing, not historical truth or cross-departmental alignment. As shown when Ali moved branches, operational databases overwrite data to reflect only the present moment, which silently corrupts our historical sales reports. Furthermore, because operational systems store raw data across disconnected applications, different departments pull data using different rules—producing conflicting figures for the exact same metric. A data warehouse solves both issues by preserving point-in-time history and establishing a single, unified source of truth for executive decisions."</w:t>
      </w:r>
    </w:p>
    <w:p>
      <w:pPr>
        <w:keepNext/>
        <w:spacing w:before="320" w:after="120"/>
      </w:pPr>
      <w:r>
        <w:rPr>
          <w:rFonts w:ascii="Calibri" w:hAnsi="Calibri"/>
          <w:b/>
          <w:i w:val="0"/>
          <w:color w:val="000000"/>
          <w:sz w:val="32"/>
        </w:rPr>
        <w:t>Part 2: Non-Volatile Definition &amp; Example</w:t>
      </w:r>
    </w:p>
    <w:p>
      <w:pPr>
        <w:pStyle w:val="ListBullet"/>
        <w:spacing w:before="0" w:after="80" w:line="276" w:lineRule="auto"/>
      </w:pPr>
      <w:r>
        <w:rPr>
          <w:rFonts w:ascii="Calibri" w:hAnsi="Calibri"/>
          <w:b/>
          <w:i w:val="0"/>
          <w:color w:val="333333"/>
          <w:sz w:val="22"/>
        </w:rPr>
        <w:t>Better One-Sentence Definition:</w:t>
      </w:r>
      <w:r>
        <w:rPr>
          <w:rFonts w:ascii="Calibri" w:hAnsi="Calibri"/>
          <w:b w:val="0"/>
          <w:i w:val="0"/>
          <w:color w:val="333333"/>
          <w:sz w:val="22"/>
        </w:rPr>
      </w:r>
    </w:p>
    <w:p>
      <w:pPr>
        <w:spacing w:after="120"/>
        <w:ind w:left="360"/>
      </w:pPr>
      <w:r>
        <w:rPr>
          <w:rFonts w:ascii="Calibri" w:hAnsi="Calibri"/>
          <w:b w:val="0"/>
          <w:i/>
          <w:color w:val="333333"/>
          <w:sz w:val="22"/>
        </w:rPr>
        <w:t>"Non-volatile means data in a warehouse is read-only for reporting and analysis—it is appended and snapshot over time rather than modified or overwritten during daily business operations."</w:t>
      </w:r>
    </w:p>
    <w:p>
      <w:pPr>
        <w:pStyle w:val="ListBullet"/>
        <w:spacing w:before="0" w:after="80" w:line="276" w:lineRule="auto"/>
      </w:pPr>
      <w:r>
        <w:rPr>
          <w:rFonts w:ascii="Calibri" w:hAnsi="Calibri"/>
          <w:b/>
          <w:i w:val="0"/>
          <w:color w:val="333333"/>
          <w:sz w:val="22"/>
        </w:rPr>
        <w:t>One Example of Data a Warehouse Would Legitimately Change:</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System Metadata / Late-Arriving Data Correction: </w:t>
      </w:r>
      <w:r>
        <w:rPr>
          <w:rFonts w:ascii="Calibri" w:hAnsi="Calibri"/>
          <w:b w:val="0"/>
          <w:i w:val="0"/>
          <w:color w:val="333333"/>
          <w:sz w:val="22"/>
        </w:rPr>
        <w:t>Updating surrogate key linkages or end-dates on dimension records when processing backdated/late-arriving operational records, or updating operational status flags during ETL load maintenance (e.g., updating a dimension record's is_current flag from TRUE to FALSE when a new record arrives).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