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Arial" w:hAnsi="Arial"/>
          <w:b/>
          <w:color w:val="000000"/>
          <w:sz w:val="40"/>
        </w:rPr>
        <w:t>Task 5 — Hands-on: Regional Sales Answers &amp; Documentation</w:t>
      </w:r>
    </w:p>
    <w:p>
      <w:pPr>
        <w:spacing w:before="320" w:after="120"/>
      </w:pPr>
      <w:r>
        <w:rPr>
          <w:rFonts w:ascii="Arial" w:hAnsi="Arial"/>
          <w:b/>
          <w:color w:val="000000"/>
          <w:sz w:val="30"/>
        </w:rPr>
        <w:t>1. Pre-Load Analytical Questions</w:t>
      </w:r>
    </w:p>
    <w:p>
      <w:pPr>
        <w:spacing w:after="200"/>
      </w:pPr>
      <w:r>
        <w:rPr>
          <w:b/>
        </w:rPr>
        <w:t>1. Which column tells us what product was sold?</w:t>
        <w:br/>
      </w:r>
      <w:r>
        <w:rPr>
          <w:b/>
        </w:rPr>
        <w:t xml:space="preserve">• Answer: </w:t>
      </w:r>
      <w:r>
        <w:t>ProductID (found in the Sales table).</w:t>
        <w:br/>
      </w:r>
      <w:r>
        <w:rPr>
          <w:b/>
        </w:rPr>
        <w:t xml:space="preserve">• Explanation: </w:t>
      </w:r>
      <w:r>
        <w:t>In the Sales table, each row represents an individual transaction. The ProductID column stores the unique identification code for the item sold in that specific transaction. To view the readable name of the item (such as 'Laptop' or 'Mouse'), Power BI uses this ProductID to map to the ProductName column in the Products lookup table.</w:t>
      </w:r>
    </w:p>
    <w:p>
      <w:pPr>
        <w:spacing w:after="200"/>
      </w:pPr>
      <w:r>
        <w:rPr>
          <w:b/>
        </w:rPr>
        <w:t>2. Where does the region's name live?</w:t>
        <w:br/>
      </w:r>
      <w:r>
        <w:rPr>
          <w:b/>
        </w:rPr>
        <w:t xml:space="preserve">• Answer: </w:t>
      </w:r>
      <w:r>
        <w:t>In the RegionName column inside the Regions table.</w:t>
        <w:br/>
      </w:r>
      <w:r>
        <w:rPr>
          <w:b/>
        </w:rPr>
        <w:t xml:space="preserve">• Explanation: </w:t>
      </w:r>
      <w:r>
        <w:t>The Sales transaction table only records a numerical key called RegionID to maintain database efficiency and prevent redundant text storage. The actual textual name of the region (e.g., North, South, East, West) resides exclusively in the Regions lookup table under the RegionName column.</w:t>
      </w:r>
    </w:p>
    <w:p>
      <w:pPr>
        <w:spacing w:after="320"/>
      </w:pPr>
      <w:r>
        <w:rPr>
          <w:b/>
        </w:rPr>
        <w:t>3. Your slicer is Product Category. Which table must it come from, and why not from Sales?</w:t>
        <w:br/>
      </w:r>
      <w:r>
        <w:rPr>
          <w:b/>
        </w:rPr>
        <w:t xml:space="preserve">• Answer: </w:t>
      </w:r>
      <w:r>
        <w:t>It must come from the Products table.</w:t>
        <w:br/>
      </w:r>
      <w:r>
        <w:rPr>
          <w:b/>
        </w:rPr>
        <w:t xml:space="preserve">• Explanation: </w:t>
      </w:r>
      <w:r>
        <w:t>First, the Category column physically exists only within the Products table. Second, according to dimensional modeling standards (Star Schema architecture), slicers and visual filters should always originate from Dimension tables (lookup tables like Products) rather than Fact tables (like Sales). The Products table provides a clean, distinct, and deduplicated list of categories, ensuring reliable filter behavior across the entire data model.</w:t>
      </w:r>
    </w:p>
    <w:p>
      <w:pPr>
        <w:spacing w:before="320" w:after="120"/>
      </w:pPr>
      <w:r>
        <w:rPr>
          <w:rFonts w:ascii="Arial" w:hAnsi="Arial"/>
          <w:b/>
          <w:color w:val="000000"/>
          <w:sz w:val="30"/>
        </w:rPr>
        <w:t>2. Data Model &amp; Relationship Details</w:t>
      </w:r>
    </w:p>
    <w:p>
      <w:pPr>
        <w:spacing w:after="160"/>
      </w:pPr>
      <w:r>
        <w:t>The relationship configuration between the Fact table and Dimension tables in Power BI is detailed below:</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shd w:fill="000000"/>
            <w:tcMar>
              <w:top w:w="120" w:type="dxa"/>
              <w:bottom w:w="120" w:type="dxa"/>
              <w:left w:w="120" w:type="dxa"/>
              <w:right w:w="120" w:type="dxa"/>
            </w:tcMar>
          </w:tcPr>
          <w:p>
            <w:pPr>
              <w:jc w:val="center"/>
            </w:pPr>
            <w:r>
              <w:rPr>
                <w:b/>
                <w:color w:val="FFFFFF"/>
              </w:rPr>
              <w:t>Primary Table (One Side)</w:t>
            </w:r>
          </w:p>
        </w:tc>
        <w:tc>
          <w:tcPr>
            <w:tcW w:type="dxa" w:w="2340"/>
            <w:shd w:fill="000000"/>
            <w:tcMar>
              <w:top w:w="120" w:type="dxa"/>
              <w:bottom w:w="120" w:type="dxa"/>
              <w:left w:w="120" w:type="dxa"/>
              <w:right w:w="120" w:type="dxa"/>
            </w:tcMar>
          </w:tcPr>
          <w:p>
            <w:pPr>
              <w:jc w:val="center"/>
            </w:pPr>
            <w:r>
              <w:rPr>
                <w:b/>
                <w:color w:val="FFFFFF"/>
              </w:rPr>
              <w:t>Foreign Table (Many Side)</w:t>
            </w:r>
          </w:p>
        </w:tc>
        <w:tc>
          <w:tcPr>
            <w:tcW w:type="dxa" w:w="2340"/>
            <w:shd w:fill="000000"/>
            <w:tcMar>
              <w:top w:w="120" w:type="dxa"/>
              <w:bottom w:w="120" w:type="dxa"/>
              <w:left w:w="120" w:type="dxa"/>
              <w:right w:w="120" w:type="dxa"/>
            </w:tcMar>
          </w:tcPr>
          <w:p>
            <w:pPr>
              <w:jc w:val="center"/>
            </w:pPr>
            <w:r>
              <w:rPr>
                <w:b/>
                <w:color w:val="FFFFFF"/>
              </w:rPr>
              <w:t>Cardinality</w:t>
            </w:r>
          </w:p>
        </w:tc>
        <w:tc>
          <w:tcPr>
            <w:tcW w:type="dxa" w:w="2340"/>
            <w:shd w:fill="000000"/>
            <w:tcMar>
              <w:top w:w="120" w:type="dxa"/>
              <w:bottom w:w="120" w:type="dxa"/>
              <w:left w:w="120" w:type="dxa"/>
              <w:right w:w="120" w:type="dxa"/>
            </w:tcMar>
          </w:tcPr>
          <w:p>
            <w:pPr>
              <w:jc w:val="center"/>
            </w:pPr>
            <w:r>
              <w:rPr>
                <w:b/>
                <w:color w:val="FFFFFF"/>
              </w:rPr>
              <w:t>Identification Logic</w:t>
            </w:r>
          </w:p>
        </w:tc>
      </w:tr>
      <w:tr>
        <w:tc>
          <w:tcPr>
            <w:tcW w:type="dxa" w:w="2340"/>
            <w:tcMar>
              <w:top w:w="100" w:type="dxa"/>
              <w:bottom w:w="100" w:type="dxa"/>
              <w:left w:w="120" w:type="dxa"/>
              <w:right w:w="120" w:type="dxa"/>
            </w:tcMar>
          </w:tcPr>
          <w:p>
            <w:r>
              <w:rPr>
                <w:color w:val="333333"/>
                <w:sz w:val="20"/>
              </w:rPr>
              <w:t>Products</w:t>
            </w:r>
          </w:p>
        </w:tc>
        <w:tc>
          <w:tcPr>
            <w:tcW w:type="dxa" w:w="2340"/>
            <w:tcMar>
              <w:top w:w="100" w:type="dxa"/>
              <w:bottom w:w="100" w:type="dxa"/>
              <w:left w:w="120" w:type="dxa"/>
              <w:right w:w="120" w:type="dxa"/>
            </w:tcMar>
          </w:tcPr>
          <w:p>
            <w:r>
              <w:rPr>
                <w:color w:val="333333"/>
                <w:sz w:val="20"/>
              </w:rPr>
              <w:t>Sales</w:t>
            </w:r>
          </w:p>
        </w:tc>
        <w:tc>
          <w:tcPr>
            <w:tcW w:type="dxa" w:w="2340"/>
            <w:tcMar>
              <w:top w:w="100" w:type="dxa"/>
              <w:bottom w:w="100" w:type="dxa"/>
              <w:left w:w="120" w:type="dxa"/>
              <w:right w:w="120" w:type="dxa"/>
            </w:tcMar>
          </w:tcPr>
          <w:p>
            <w:r>
              <w:rPr>
                <w:color w:val="333333"/>
                <w:sz w:val="20"/>
              </w:rPr>
              <w:t>One-to-Many (1:*)</w:t>
            </w:r>
          </w:p>
        </w:tc>
        <w:tc>
          <w:tcPr>
            <w:tcW w:type="dxa" w:w="2340"/>
            <w:tcMar>
              <w:top w:w="100" w:type="dxa"/>
              <w:bottom w:w="100" w:type="dxa"/>
              <w:left w:w="120" w:type="dxa"/>
              <w:right w:w="120" w:type="dxa"/>
            </w:tcMar>
          </w:tcPr>
          <w:p>
            <w:r>
              <w:rPr>
                <w:color w:val="333333"/>
                <w:sz w:val="20"/>
              </w:rPr>
              <w:t>Products contains master records with unique ProductIDs (1 side). Sales records multiple transactions per product (* side).</w:t>
            </w:r>
          </w:p>
        </w:tc>
      </w:tr>
      <w:tr>
        <w:tc>
          <w:tcPr>
            <w:tcW w:type="dxa" w:w="2340"/>
            <w:tcMar>
              <w:top w:w="100" w:type="dxa"/>
              <w:bottom w:w="100" w:type="dxa"/>
              <w:left w:w="120" w:type="dxa"/>
              <w:right w:w="120" w:type="dxa"/>
            </w:tcMar>
          </w:tcPr>
          <w:p>
            <w:r>
              <w:rPr>
                <w:color w:val="333333"/>
                <w:sz w:val="20"/>
              </w:rPr>
              <w:t>Regions</w:t>
            </w:r>
          </w:p>
        </w:tc>
        <w:tc>
          <w:tcPr>
            <w:tcW w:type="dxa" w:w="2340"/>
            <w:tcMar>
              <w:top w:w="100" w:type="dxa"/>
              <w:bottom w:w="100" w:type="dxa"/>
              <w:left w:w="120" w:type="dxa"/>
              <w:right w:w="120" w:type="dxa"/>
            </w:tcMar>
          </w:tcPr>
          <w:p>
            <w:r>
              <w:rPr>
                <w:color w:val="333333"/>
                <w:sz w:val="20"/>
              </w:rPr>
              <w:t>Sales</w:t>
            </w:r>
          </w:p>
        </w:tc>
        <w:tc>
          <w:tcPr>
            <w:tcW w:type="dxa" w:w="2340"/>
            <w:tcMar>
              <w:top w:w="100" w:type="dxa"/>
              <w:bottom w:w="100" w:type="dxa"/>
              <w:left w:w="120" w:type="dxa"/>
              <w:right w:w="120" w:type="dxa"/>
            </w:tcMar>
          </w:tcPr>
          <w:p>
            <w:r>
              <w:rPr>
                <w:color w:val="333333"/>
                <w:sz w:val="20"/>
              </w:rPr>
              <w:t>One-to-Many (1:*)</w:t>
            </w:r>
          </w:p>
        </w:tc>
        <w:tc>
          <w:tcPr>
            <w:tcW w:type="dxa" w:w="2340"/>
            <w:tcMar>
              <w:top w:w="100" w:type="dxa"/>
              <w:bottom w:w="100" w:type="dxa"/>
              <w:left w:w="120" w:type="dxa"/>
              <w:right w:w="120" w:type="dxa"/>
            </w:tcMar>
          </w:tcPr>
          <w:p>
            <w:r>
              <w:rPr>
                <w:color w:val="333333"/>
                <w:sz w:val="20"/>
              </w:rPr>
              <w:t>Regions contains master records with unique RegionIDs (1 side). Sales records multiple transactions per region (* side).</w:t>
            </w:r>
          </w:p>
        </w:tc>
      </w:tr>
    </w:tbl>
    <w:p>
      <w:pPr>
        <w:spacing w:before="160"/>
      </w:pPr>
    </w:p>
    <w:p>
      <w:pPr>
        <w:spacing w:before="320" w:after="120"/>
      </w:pPr>
      <w:r>
        <w:rPr>
          <w:rFonts w:ascii="Arial" w:hAnsi="Arial"/>
          <w:b/>
          <w:color w:val="000000"/>
          <w:sz w:val="30"/>
        </w:rPr>
        <w:t>3. Validation Checks</w:t>
      </w:r>
    </w:p>
    <w:p>
      <w:pPr>
        <w:spacing w:after="160"/>
      </w:pPr>
      <w:r>
        <w:t>To ensure data accuracy, model integrity, and source file safety, the following four validation checks were performed:</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shd w:fill="000000"/>
            <w:tcMar>
              <w:top w:w="120" w:type="dxa"/>
              <w:bottom w:w="120" w:type="dxa"/>
              <w:left w:w="120" w:type="dxa"/>
              <w:right w:w="120" w:type="dxa"/>
            </w:tcMar>
          </w:tcPr>
          <w:p>
            <w:pPr>
              <w:jc w:val="center"/>
            </w:pPr>
            <w:r>
              <w:rPr>
                <w:b/>
                <w:color w:val="FFFFFF"/>
              </w:rPr>
              <w:t>Check Title</w:t>
            </w:r>
          </w:p>
        </w:tc>
        <w:tc>
          <w:tcPr>
            <w:tcW w:type="dxa" w:w="3120"/>
            <w:shd w:fill="000000"/>
            <w:tcMar>
              <w:top w:w="120" w:type="dxa"/>
              <w:bottom w:w="120" w:type="dxa"/>
              <w:left w:w="120" w:type="dxa"/>
              <w:right w:w="120" w:type="dxa"/>
            </w:tcMar>
          </w:tcPr>
          <w:p>
            <w:pPr>
              <w:jc w:val="center"/>
            </w:pPr>
            <w:r>
              <w:rPr>
                <w:b/>
                <w:color w:val="FFFFFF"/>
              </w:rPr>
              <w:t>Validation Result</w:t>
            </w:r>
          </w:p>
        </w:tc>
        <w:tc>
          <w:tcPr>
            <w:tcW w:type="dxa" w:w="3120"/>
            <w:shd w:fill="000000"/>
            <w:tcMar>
              <w:top w:w="120" w:type="dxa"/>
              <w:bottom w:w="120" w:type="dxa"/>
              <w:left w:w="120" w:type="dxa"/>
              <w:right w:w="120" w:type="dxa"/>
            </w:tcMar>
          </w:tcPr>
          <w:p>
            <w:pPr>
              <w:jc w:val="center"/>
            </w:pPr>
            <w:r>
              <w:rPr>
                <w:b/>
                <w:color w:val="FFFFFF"/>
              </w:rPr>
              <w:t>Verification Note</w:t>
            </w:r>
          </w:p>
        </w:tc>
      </w:tr>
      <w:tr>
        <w:tc>
          <w:tcPr>
            <w:tcW w:type="dxa" w:w="3120"/>
            <w:tcMar>
              <w:top w:w="100" w:type="dxa"/>
              <w:bottom w:w="100" w:type="dxa"/>
              <w:left w:w="120" w:type="dxa"/>
              <w:right w:w="120" w:type="dxa"/>
            </w:tcMar>
          </w:tcPr>
          <w:p>
            <w:r>
              <w:rPr>
                <w:color w:val="333333"/>
                <w:sz w:val="20"/>
              </w:rPr>
              <w:t>Check 1 (Unfiltered Total Match)</w:t>
            </w:r>
          </w:p>
        </w:tc>
        <w:tc>
          <w:tcPr>
            <w:tcW w:type="dxa" w:w="3120"/>
            <w:tcMar>
              <w:top w:w="100" w:type="dxa"/>
              <w:bottom w:w="100" w:type="dxa"/>
              <w:left w:w="120" w:type="dxa"/>
              <w:right w:w="120" w:type="dxa"/>
            </w:tcMar>
          </w:tcPr>
          <w:p>
            <w:r>
              <w:rPr>
                <w:color w:val="333333"/>
                <w:sz w:val="20"/>
              </w:rPr>
              <w:t>The sum of all 480 rows of Sales amount in Excel is 3 Million.</w:t>
            </w:r>
          </w:p>
        </w:tc>
        <w:tc>
          <w:tcPr>
            <w:tcW w:type="dxa" w:w="3120"/>
            <w:tcMar>
              <w:top w:w="100" w:type="dxa"/>
              <w:bottom w:w="100" w:type="dxa"/>
              <w:left w:w="120" w:type="dxa"/>
              <w:right w:w="120" w:type="dxa"/>
            </w:tcMar>
          </w:tcPr>
          <w:p>
            <w:r>
              <w:rPr>
                <w:color w:val="333333"/>
                <w:sz w:val="20"/>
              </w:rPr>
              <w:t>Matches the total card visualization in Power BI perfectly before applying slicers.</w:t>
            </w:r>
          </w:p>
        </w:tc>
      </w:tr>
      <w:tr>
        <w:tc>
          <w:tcPr>
            <w:tcW w:type="dxa" w:w="3120"/>
            <w:tcMar>
              <w:top w:w="100" w:type="dxa"/>
              <w:bottom w:w="100" w:type="dxa"/>
              <w:left w:w="120" w:type="dxa"/>
              <w:right w:w="120" w:type="dxa"/>
            </w:tcMar>
          </w:tcPr>
          <w:p>
            <w:r>
              <w:rPr>
                <w:color w:val="333333"/>
                <w:sz w:val="20"/>
              </w:rPr>
              <w:t>Check 2 (Category Sum Integrity)</w:t>
            </w:r>
          </w:p>
        </w:tc>
        <w:tc>
          <w:tcPr>
            <w:tcW w:type="dxa" w:w="3120"/>
            <w:tcMar>
              <w:top w:w="100" w:type="dxa"/>
              <w:bottom w:w="100" w:type="dxa"/>
              <w:left w:w="120" w:type="dxa"/>
              <w:right w:w="120" w:type="dxa"/>
            </w:tcMar>
          </w:tcPr>
          <w:p>
            <w:r>
              <w:rPr>
                <w:color w:val="333333"/>
                <w:sz w:val="20"/>
              </w:rPr>
              <w:t>Beverages = 82 K, Dairy = 158 K, Electronics = 2 M, Grocery = 965 K, Snacks = 59 K.</w:t>
            </w:r>
          </w:p>
        </w:tc>
        <w:tc>
          <w:tcPr>
            <w:tcW w:type="dxa" w:w="3120"/>
            <w:tcMar>
              <w:top w:w="100" w:type="dxa"/>
              <w:bottom w:w="100" w:type="dxa"/>
              <w:left w:w="120" w:type="dxa"/>
              <w:right w:w="120" w:type="dxa"/>
            </w:tcMar>
          </w:tcPr>
          <w:p>
            <w:r>
              <w:rPr>
                <w:color w:val="333333"/>
                <w:sz w:val="20"/>
              </w:rPr>
              <w:t>Selecting each category individually and summing their amounts equals the overall grand total of 3 Million.</w:t>
            </w:r>
          </w:p>
        </w:tc>
      </w:tr>
      <w:tr>
        <w:tc>
          <w:tcPr>
            <w:tcW w:type="dxa" w:w="3120"/>
            <w:tcMar>
              <w:top w:w="100" w:type="dxa"/>
              <w:bottom w:w="100" w:type="dxa"/>
              <w:left w:w="120" w:type="dxa"/>
              <w:right w:w="120" w:type="dxa"/>
            </w:tcMar>
          </w:tcPr>
          <w:p>
            <w:r>
              <w:rPr>
                <w:color w:val="333333"/>
                <w:sz w:val="20"/>
              </w:rPr>
              <w:t>Check 3 (Source File Protection)</w:t>
            </w:r>
          </w:p>
        </w:tc>
        <w:tc>
          <w:tcPr>
            <w:tcW w:type="dxa" w:w="3120"/>
            <w:tcMar>
              <w:top w:w="100" w:type="dxa"/>
              <w:bottom w:w="100" w:type="dxa"/>
              <w:left w:w="120" w:type="dxa"/>
              <w:right w:w="120" w:type="dxa"/>
            </w:tcMar>
          </w:tcPr>
          <w:p>
            <w:r>
              <w:rPr>
                <w:color w:val="333333"/>
                <w:sz w:val="20"/>
              </w:rPr>
              <w:t>Yes it is true that Slicing and filtering inside Power BI alters the report view dynamic presentation only; the source Excel file remains completely untouched.</w:t>
            </w:r>
          </w:p>
        </w:tc>
        <w:tc>
          <w:tcPr>
            <w:tcW w:type="dxa" w:w="3120"/>
            <w:tcMar>
              <w:top w:w="100" w:type="dxa"/>
              <w:bottom w:w="100" w:type="dxa"/>
              <w:left w:w="120" w:type="dxa"/>
              <w:right w:w="120" w:type="dxa"/>
            </w:tcMar>
          </w:tcPr>
          <w:p>
            <w:r>
              <w:rPr>
                <w:color w:val="333333"/>
                <w:sz w:val="20"/>
              </w:rPr>
              <w:t>Power BI operates via a read-only query engine that imports a snapshot without altering source disk files.</w:t>
            </w:r>
          </w:p>
        </w:tc>
      </w:tr>
      <w:tr>
        <w:tc>
          <w:tcPr>
            <w:tcW w:type="dxa" w:w="3120"/>
            <w:tcMar>
              <w:top w:w="100" w:type="dxa"/>
              <w:bottom w:w="100" w:type="dxa"/>
              <w:left w:w="120" w:type="dxa"/>
              <w:right w:w="120" w:type="dxa"/>
            </w:tcMar>
          </w:tcPr>
          <w:p>
            <w:r>
              <w:rPr>
                <w:color w:val="333333"/>
                <w:sz w:val="20"/>
              </w:rPr>
              <w:t>Check 4 (Data Quality &amp; Nulls)</w:t>
            </w:r>
          </w:p>
        </w:tc>
        <w:tc>
          <w:tcPr>
            <w:tcW w:type="dxa" w:w="3120"/>
            <w:tcMar>
              <w:top w:w="100" w:type="dxa"/>
              <w:bottom w:w="100" w:type="dxa"/>
              <w:left w:w="120" w:type="dxa"/>
              <w:right w:w="120" w:type="dxa"/>
            </w:tcMar>
          </w:tcPr>
          <w:p>
            <w:r>
              <w:rPr>
                <w:color w:val="333333"/>
                <w:sz w:val="20"/>
              </w:rPr>
              <w:t>Yes all visuals render cleanly without error messages or Blank values.</w:t>
            </w:r>
          </w:p>
        </w:tc>
        <w:tc>
          <w:tcPr>
            <w:tcW w:type="dxa" w:w="3120"/>
            <w:tcMar>
              <w:top w:w="100" w:type="dxa"/>
              <w:bottom w:w="100" w:type="dxa"/>
              <w:left w:w="120" w:type="dxa"/>
              <w:right w:w="120" w:type="dxa"/>
            </w:tcMar>
          </w:tcPr>
          <w:p>
            <w:r>
              <w:rPr>
                <w:color w:val="333333"/>
                <w:sz w:val="20"/>
              </w:rPr>
              <w:t>Confirmed that foreign keys map 100% cleanly with zero orphan records across tables.</w:t>
            </w:r>
          </w:p>
        </w:tc>
      </w:tr>
    </w:tbl>
    <w:p>
      <w:pPr>
        <w:spacing w:before="160"/>
      </w:pPr>
    </w:p>
    <w:p>
      <w:pPr>
        <w:spacing w:before="320" w:after="120"/>
      </w:pPr>
      <w:r>
        <w:rPr>
          <w:rFonts w:ascii="Arial" w:hAnsi="Arial"/>
          <w:b/>
          <w:color w:val="000000"/>
          <w:sz w:val="30"/>
        </w:rPr>
        <w:t>4. Power BI Interface Exploration</w:t>
      </w:r>
    </w:p>
    <w:p>
      <w:pPr>
        <w:spacing w:before="240" w:after="80"/>
      </w:pPr>
      <w:r>
        <w:rPr>
          <w:rFonts w:ascii="Arial" w:hAnsi="Arial"/>
          <w:b/>
          <w:color w:val="000000"/>
          <w:sz w:val="25"/>
        </w:rPr>
        <w:t>Four Main Panes of Power BI Desktop</w:t>
      </w:r>
    </w:p>
    <w:p>
      <w:pPr>
        <w:spacing w:after="200"/>
      </w:pPr>
      <w:r>
        <w:rPr>
          <w:b/>
        </w:rPr>
        <w:t xml:space="preserve">1. Filters Pane: </w:t>
      </w:r>
      <w:r>
        <w:t>Used to restrict and slice data at the visual, single page, or report-wide level.</w:t>
        <w:br/>
      </w:r>
      <w:r>
        <w:rPr>
          <w:b/>
        </w:rPr>
        <w:t xml:space="preserve">2. Visualizations Pane: </w:t>
      </w:r>
      <w:r>
        <w:t>Used to select chart types, configure field drop zones (axes, values, legends), and format visual design styles.</w:t>
        <w:br/>
      </w:r>
      <w:r>
        <w:rPr>
          <w:b/>
        </w:rPr>
        <w:t xml:space="preserve">3. Data Pane (Fields): </w:t>
      </w:r>
      <w:r>
        <w:t>Lists all imported tables, columns, and DAX measures available for building visualizations.</w:t>
        <w:br/>
      </w:r>
      <w:r>
        <w:rPr>
          <w:b/>
        </w:rPr>
        <w:t xml:space="preserve">4. Canvas Pane: </w:t>
      </w:r>
      <w:r>
        <w:t>The central interactive workspace where visual charts, cards, titles, and slicers are arranged and presented.</w:t>
      </w:r>
    </w:p>
    <w:p>
      <w:pPr>
        <w:spacing w:before="240" w:after="80"/>
      </w:pPr>
      <w:r>
        <w:rPr>
          <w:rFonts w:ascii="Arial" w:hAnsi="Arial"/>
          <w:b/>
          <w:color w:val="000000"/>
          <w:sz w:val="25"/>
        </w:rPr>
        <w:t>Three Left-Hand Navigation Views</w:t>
      </w:r>
    </w:p>
    <w:p>
      <w:pPr>
        <w:spacing w:after="320"/>
      </w:pPr>
      <w:r>
        <w:rPr>
          <w:b/>
        </w:rPr>
        <w:t xml:space="preserve">1. Report View: </w:t>
      </w:r>
      <w:r>
        <w:t>Used to design, arrange, format, and interact with report visuals and interactive dashboards.</w:t>
        <w:br/>
      </w:r>
      <w:r>
        <w:rPr>
          <w:b/>
        </w:rPr>
        <w:t xml:space="preserve">2. Table / Data View: </w:t>
      </w:r>
      <w:r>
        <w:t>Used to inspect, search, and verify raw underlying data rows and tabular structures.</w:t>
        <w:br/>
      </w:r>
      <w:r>
        <w:rPr>
          <w:b/>
        </w:rPr>
        <w:t xml:space="preserve">3. Model View: </w:t>
      </w:r>
      <w:r>
        <w:t>Used to build, manage, and inspect table relationships, star schema structures, and data topologies.</w:t>
      </w:r>
    </w:p>
    <w:p>
      <w:pPr>
        <w:spacing w:before="320" w:after="120"/>
      </w:pPr>
      <w:r>
        <w:rPr>
          <w:rFonts w:ascii="Arial" w:hAnsi="Arial"/>
          <w:b/>
          <w:color w:val="000000"/>
          <w:sz w:val="30"/>
        </w:rPr>
        <w:t>5. Architectural Decision: UnitPrice Duplication</w:t>
      </w:r>
    </w:p>
    <w:p>
      <w:r>
        <w:rPr>
          <w:b/>
        </w:rPr>
        <w:t xml:space="preserve">• Question: </w:t>
      </w:r>
      <w:r>
        <w:t>UnitPrice exists in both the Sales table and the Products table. Which one should be used for revenue reporting, and why?</w:t>
        <w:br/>
        <w:br/>
      </w:r>
      <w:r>
        <w:rPr>
          <w:b/>
        </w:rPr>
        <w:t>• Decision &amp; Justification:</w:t>
        <w:br/>
      </w:r>
      <w:r>
        <w:t xml:space="preserve">The report MUST use the </w:t>
      </w:r>
      <w:r>
        <w:rPr>
          <w:b/>
        </w:rPr>
        <w:t>UnitPrice column from the Sales table</w:t>
      </w:r>
      <w:r>
        <w:t>.</w:t>
        <w:br/>
        <w:br/>
      </w:r>
      <w:r>
        <w:t xml:space="preserve">In data warehousing and enterprise business intelligence, the </w:t>
      </w:r>
      <w:r>
        <w:rPr>
          <w:b/>
        </w:rPr>
        <w:t>UnitPrice in Sales</w:t>
      </w:r>
      <w:r>
        <w:t xml:space="preserve"> captures the historical transactional price at the exact timestamp when the sale occurred (reflecting temporary promotional discounts, contract rates, or historical price structures). Conversely, the </w:t>
      </w:r>
      <w:r>
        <w:rPr>
          <w:b/>
        </w:rPr>
        <w:t>UnitPrice in Products</w:t>
      </w:r>
      <w:r>
        <w:t xml:space="preserve"> represents the current static catalog/list price. Utilizing the product catalog price to compute historical revenue would incorrectly recalculate past revenue whenever list prices are updated, causing financial discrepancies and inaccurate auditing.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