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000000"/>
          <w:sz w:val="36"/>
        </w:rPr>
        <w:t>Task 1 — The Three Tiers, and What a Warehouse Must Be</w:t>
      </w:r>
    </w:p>
    <w:p>
      <w:pPr>
        <w:spacing w:after="360"/>
      </w:pPr>
      <w:r>
        <w:rPr>
          <w:i/>
          <w:color w:val="333333"/>
          <w:sz w:val="22"/>
        </w:rPr>
        <w:t>Data Warehouse &amp; Business Intelligence Documentation</w:t>
      </w:r>
    </w:p>
    <w:p>
      <w:pPr>
        <w:spacing w:before="280" w:after="120"/>
      </w:pPr>
      <w:r>
        <w:rPr>
          <w:b/>
          <w:color w:val="000000"/>
          <w:sz w:val="28"/>
        </w:rPr>
        <w:t>1. The Three Tiers of Data Warehousing</w:t>
      </w:r>
    </w:p>
    <w:p>
      <w:pPr>
        <w:spacing w:before="160" w:after="40"/>
      </w:pPr>
      <w:r>
        <w:rPr>
          <w:b/>
          <w:sz w:val="24"/>
        </w:rPr>
        <w:t>Bottom Tier (Data Warehouse Database Server / Staging &amp; Storage)</w:t>
      </w:r>
    </w:p>
    <w:p>
      <w:pPr>
        <w:pStyle w:val="ListBullet"/>
        <w:spacing w:after="40"/>
      </w:pPr>
      <w:r>
        <w:rPr>
          <w:b/>
        </w:rPr>
        <w:t xml:space="preserve">One-Line Job: </w:t>
      </w:r>
      <w:r>
        <w:t>Extract and clean operational data from source systems, storing it in a unified structure.</w:t>
      </w:r>
    </w:p>
    <w:p>
      <w:pPr>
        <w:pStyle w:val="ListBullet"/>
        <w:spacing w:after="40"/>
      </w:pPr>
      <w:r>
        <w:rPr>
          <w:b/>
        </w:rPr>
        <w:t xml:space="preserve">What Happens in PakFreight: </w:t>
      </w:r>
      <w:r>
        <w:t>Operational files (like freight logs, booking records, and billing receipts) are extracted and loaded into staging tables to clean mismatched column names and formatting errors.</w:t>
      </w:r>
    </w:p>
    <w:p>
      <w:pPr>
        <w:pStyle w:val="ListBullet"/>
        <w:spacing w:after="120"/>
      </w:pPr>
      <w:r>
        <w:rPr>
          <w:b/>
        </w:rPr>
        <w:t xml:space="preserve">What Must NOT Happen Here: </w:t>
      </w:r>
      <w:r>
        <w:t>End users or BI dashboards must NOT run heavy analytical queries directly on this storage tier, as it slows down data loading and processing.</w:t>
      </w:r>
    </w:p>
    <w:p>
      <w:pPr>
        <w:spacing w:before="160" w:after="40"/>
      </w:pPr>
      <w:r>
        <w:rPr>
          <w:b/>
          <w:sz w:val="24"/>
        </w:rPr>
        <w:t>Middle Tier (OLAP Server / Business Logic Layer)</w:t>
      </w:r>
    </w:p>
    <w:p>
      <w:pPr>
        <w:pStyle w:val="ListBullet"/>
        <w:spacing w:after="40"/>
      </w:pPr>
      <w:r>
        <w:rPr>
          <w:b/>
        </w:rPr>
        <w:t xml:space="preserve">One-Line Job: </w:t>
      </w:r>
      <w:r>
        <w:t>Process, aggregate, and organize data into multidimensional cubes or data models for fast analytical querying.</w:t>
      </w:r>
    </w:p>
    <w:p>
      <w:pPr>
        <w:pStyle w:val="ListBullet"/>
        <w:spacing w:after="40"/>
      </w:pPr>
      <w:r>
        <w:rPr>
          <w:b/>
        </w:rPr>
        <w:t xml:space="preserve">What Happens in PakFreight: </w:t>
      </w:r>
      <w:r>
        <w:t>Metrics like freight cost per tonne-kilometer or total revenue per transportation mode are pre-calculated and aggregated.</w:t>
      </w:r>
    </w:p>
    <w:p>
      <w:pPr>
        <w:pStyle w:val="ListBullet"/>
        <w:spacing w:after="120"/>
      </w:pPr>
      <w:r>
        <w:rPr>
          <w:b/>
        </w:rPr>
        <w:t xml:space="preserve">What Must NOT Happen Here: </w:t>
      </w:r>
      <w:r>
        <w:t>Raw, uncleaned, or unvalidated source data must NOT bypass staging and be calculated directly in the OLAP layer.</w:t>
      </w:r>
    </w:p>
    <w:p>
      <w:pPr>
        <w:spacing w:before="160" w:after="40"/>
      </w:pPr>
      <w:r>
        <w:rPr>
          <w:b/>
          <w:sz w:val="24"/>
        </w:rPr>
        <w:t>Top Tier (Front-End Presentation / BI &amp; Reporting Layer)</w:t>
      </w:r>
    </w:p>
    <w:p>
      <w:pPr>
        <w:pStyle w:val="ListBullet"/>
        <w:spacing w:after="40"/>
      </w:pPr>
      <w:r>
        <w:rPr>
          <w:b/>
        </w:rPr>
        <w:t xml:space="preserve">One-Line Job: </w:t>
      </w:r>
      <w:r>
        <w:t>Display visualizations, dashboards, ad-hoc reports, and data analysis tools to end users.</w:t>
      </w:r>
    </w:p>
    <w:p>
      <w:pPr>
        <w:pStyle w:val="ListBullet"/>
        <w:spacing w:after="40"/>
      </w:pPr>
      <w:r>
        <w:rPr>
          <w:b/>
        </w:rPr>
        <w:t xml:space="preserve">What Happens in PakFreight: </w:t>
      </w:r>
      <w:r>
        <w:t>Board members and executives view visual charts comparing transport mode profitability across multiple years.</w:t>
      </w:r>
    </w:p>
    <w:p>
      <w:pPr>
        <w:pStyle w:val="ListBullet"/>
        <w:spacing w:after="120"/>
      </w:pPr>
      <w:r>
        <w:rPr>
          <w:b/>
        </w:rPr>
        <w:t xml:space="preserve">What Must NOT Happen Here: </w:t>
      </w:r>
      <w:r>
        <w:t>Data transformation, heavy record updates, or business logic rule creation must NOT take place inside report widgets or dashboard calculations.</w:t>
      </w:r>
    </w:p>
    <w:p>
      <w:pPr>
        <w:spacing w:before="280" w:after="120"/>
      </w:pPr>
      <w:r>
        <w:rPr>
          <w:b/>
          <w:color w:val="000000"/>
          <w:sz w:val="28"/>
        </w:rPr>
        <w:t>2. Inmon's Four Properties Applied to PakFreight</w:t>
      </w:r>
    </w:p>
    <w:p>
      <w:pPr>
        <w:spacing w:after="120"/>
      </w:pPr>
      <w:r>
        <w:t>Bill Inmon defines a Data Warehouse as a subject-oriented, integrated, time-variant, and non-volatile collection of data.</w:t>
      </w:r>
    </w:p>
    <w:p>
      <w:pPr>
        <w:spacing w:before="120" w:after="40"/>
      </w:pPr>
      <w:r>
        <w:rPr>
          <w:b/>
          <w:sz w:val="24"/>
        </w:rPr>
        <w:t>Subject-Oriented</w:t>
      </w:r>
    </w:p>
    <w:p>
      <w:pPr>
        <w:pStyle w:val="ListBullet"/>
        <w:spacing w:after="40"/>
      </w:pPr>
      <w:r>
        <w:rPr>
          <w:b/>
        </w:rPr>
        <w:t xml:space="preserve">Satisfied Example: </w:t>
      </w:r>
      <w:r>
        <w:t>Storing all freight transactions, billing records, and delivery routes structured strictly around central business entities like Consignment, Customer, or Transport Mode.</w:t>
      </w:r>
    </w:p>
    <w:p>
      <w:pPr>
        <w:pStyle w:val="ListBullet"/>
        <w:spacing w:after="120"/>
      </w:pPr>
      <w:r>
        <w:rPr>
          <w:b/>
        </w:rPr>
        <w:t xml:space="preserve">Broken Example: </w:t>
      </w:r>
      <w:r>
        <w:t>Storing data structured around individual departmental operational tasks, such as separate files optimized purely for a clerk's daily data entry application.</w:t>
      </w:r>
    </w:p>
    <w:p>
      <w:pPr>
        <w:spacing w:before="120" w:after="40"/>
      </w:pPr>
      <w:r>
        <w:rPr>
          <w:b/>
          <w:sz w:val="24"/>
        </w:rPr>
        <w:t>Integrated</w:t>
      </w:r>
    </w:p>
    <w:p>
      <w:pPr>
        <w:pStyle w:val="ListBullet"/>
        <w:spacing w:after="40"/>
      </w:pPr>
      <w:r>
        <w:rPr>
          <w:b/>
        </w:rPr>
        <w:t xml:space="preserve">Satisfied Example: </w:t>
      </w:r>
      <w:r>
        <w:t>Standardizing conflicting status codes (e.g., converting 'DEL', 'Delivered', and 'Status_1') into a single uniform value ('DELIVERED') across all source systems.</w:t>
      </w:r>
    </w:p>
    <w:p>
      <w:pPr>
        <w:pStyle w:val="ListBullet"/>
        <w:spacing w:after="120"/>
      </w:pPr>
      <w:r>
        <w:rPr>
          <w:b/>
        </w:rPr>
        <w:t xml:space="preserve">Broken Example: </w:t>
      </w:r>
      <w:r>
        <w:t>Having Operations, Finance, and Sales maintain separate source files where the same customer or consignment ID has different formats, column headers, or values.</w:t>
      </w:r>
    </w:p>
    <w:p>
      <w:pPr>
        <w:spacing w:before="120" w:after="40"/>
      </w:pPr>
      <w:r>
        <w:rPr>
          <w:b/>
          <w:sz w:val="24"/>
        </w:rPr>
        <w:t>Time-Variant</w:t>
      </w:r>
    </w:p>
    <w:p>
      <w:pPr>
        <w:pStyle w:val="ListBullet"/>
        <w:spacing w:after="40"/>
      </w:pPr>
      <w:r>
        <w:rPr>
          <w:b/>
        </w:rPr>
        <w:t xml:space="preserve">Satisfied Example: </w:t>
      </w:r>
      <w:r>
        <w:t>Timestamping every freight status change so PakFreight can track historical performance over the last 3–5 years.</w:t>
      </w:r>
    </w:p>
    <w:p>
      <w:pPr>
        <w:pStyle w:val="ListBullet"/>
        <w:spacing w:after="120"/>
      </w:pPr>
      <w:r>
        <w:rPr>
          <w:b/>
        </w:rPr>
        <w:t xml:space="preserve">Broken Example: </w:t>
      </w:r>
      <w:r>
        <w:t>Overwriting status or location attributes directly in the database, making it impossible to see historical records before the update.</w:t>
      </w:r>
    </w:p>
    <w:p>
      <w:pPr>
        <w:spacing w:before="120" w:after="40"/>
      </w:pPr>
      <w:r>
        <w:rPr>
          <w:b/>
          <w:sz w:val="24"/>
        </w:rPr>
        <w:t>Non-Volatile</w:t>
      </w:r>
    </w:p>
    <w:p>
      <w:pPr>
        <w:pStyle w:val="ListBullet"/>
        <w:spacing w:after="40"/>
      </w:pPr>
      <w:r>
        <w:rPr>
          <w:b/>
        </w:rPr>
        <w:t xml:space="preserve">Satisfied Example: </w:t>
      </w:r>
      <w:r>
        <w:t>Appending new shipment records line-by-line while keeping older shipment records unchanged for historical auditing.</w:t>
      </w:r>
    </w:p>
    <w:p>
      <w:pPr>
        <w:pStyle w:val="ListBullet"/>
        <w:spacing w:after="120"/>
      </w:pPr>
      <w:r>
        <w:rPr>
          <w:b/>
        </w:rPr>
        <w:t xml:space="preserve">Broken Example: </w:t>
      </w:r>
      <w:r>
        <w:t>Directly updating or deleting a past trip record when a correction occurs instead of inserting a correcting transaction entry.</w:t>
      </w:r>
    </w:p>
    <w:p>
      <w:pPr>
        <w:spacing w:before="280" w:after="120"/>
      </w:pPr>
      <w:r>
        <w:rPr>
          <w:b/>
          <w:color w:val="000000"/>
          <w:sz w:val="28"/>
        </w:rPr>
        <w:t>3. EDW or ODS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0000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0000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0000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00000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One-Line Explanation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A dispatcher needs truck positions every 2 minutes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</w:rPr>
              <w:t>ODS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Requires near-real-time operational updates rather than aggregated historical data.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The CFO compares freight cost per tonne-km across three years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</w:rPr>
              <w:t>EDW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Requires historical trend analysis across multiple years.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c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A customer service agent checks whether consignment 45017 left today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</w:rPr>
              <w:t>ODS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Looks up current, real-time operational status for a single transaction.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d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The board reviews mode profitability since 2023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</w:rPr>
              <w:t>EDW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000000"/>
              </w:rPr>
              <w:t>Aggregates multi-year historical financial performance for strategic reporting.</w:t>
            </w:r>
          </w:p>
        </w:tc>
      </w:tr>
    </w:tbl>
    <w:p>
      <w:pPr>
        <w:spacing w:before="320" w:after="120"/>
      </w:pPr>
      <w:r>
        <w:rPr>
          <w:b/>
          <w:color w:val="000000"/>
          <w:sz w:val="28"/>
        </w:rPr>
        <w:t>4. Independent vs. Dependent Data Marts</w:t>
      </w:r>
    </w:p>
    <w:p>
      <w:pPr>
        <w:spacing w:after="80"/>
      </w:pPr>
      <w:r>
        <w:rPr>
          <w:b/>
        </w:rPr>
        <w:t>Architecture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Operations File CSV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Finance File CSV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Sales File CSV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</w:tr>
      <w:tr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Operations Data Mart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Finance Data Mart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Sales Data Mart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Operations File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Finance File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Sales File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</w:tr>
      <w:tr>
        <w:tc>
          <w:tcPr>
            <w:tcW w:type="dxa" w:w="9072"/>
            <w:vAlign w:val="center"/>
            <w:gridSpan w:val="3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Enterprise Data Warehouse (EDW)</w:t>
              <w:br/>
              <w:t>(Single Source of Truth / Staging)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Enterprise Data Warehouse (EDW)</w:t>
              <w:br/>
              <w:t>(Single Source of Truth / Staging)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Enterprise Data Warehouse (EDW)</w:t>
              <w:br/>
              <w:t>(Single Source of Truth / Staging)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</w:rPr>
              <w:t>↓</w:t>
            </w:r>
          </w:p>
        </w:tc>
      </w:tr>
      <w:tr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Operations Mart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Finance Mart</w:t>
            </w:r>
          </w:p>
        </w:tc>
        <w:tc>
          <w:tcPr>
            <w:tcW w:type="dxa" w:w="3024"/>
            <w:vAlign w:val="center"/>
            <w:shd w:fill="0000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Sales Mart</w:t>
            </w:r>
          </w:p>
        </w:tc>
      </w:tr>
    </w:tbl>
    <w:p>
      <w:pPr>
        <w:spacing w:before="200" w:after="80"/>
      </w:pPr>
      <w:r>
        <w:rPr>
          <w:b/>
        </w:rPr>
        <w:t>Three-Sentence Explanation:</w:t>
      </w:r>
    </w:p>
    <w:p>
      <w:pPr>
        <w:spacing w:after="40"/>
      </w:pPr>
      <w:r>
        <w:rPr>
          <w:b/>
        </w:rPr>
        <w:t xml:space="preserve">1. </w:t>
      </w:r>
      <w:r>
        <w:t>When departments build independent data marts straight from their own raw files, each department applies its own isolated cleaning rules, metric calculations, and data definitions.</w:t>
      </w:r>
    </w:p>
    <w:p>
      <w:pPr>
        <w:spacing w:after="40"/>
      </w:pPr>
      <w:r>
        <w:rPr>
          <w:b/>
        </w:rPr>
        <w:t xml:space="preserve">2. </w:t>
      </w:r>
      <w:r>
        <w:t>Because there is no centralized Enterprise Data Warehouse (EDW) to enforce a single source of truth, the same underlying metric (such as quarterly revenue) gets calculated differently across systems.</w:t>
      </w:r>
    </w:p>
    <w:p>
      <w:pPr>
        <w:spacing w:after="40"/>
      </w:pPr>
      <w:r>
        <w:rPr>
          <w:b/>
        </w:rPr>
        <w:t xml:space="preserve">3. </w:t>
      </w:r>
      <w:r>
        <w:t>Consequently, querying all three marts yields three different answers for the exact same business question.</w:t>
      </w:r>
    </w:p>
    <w:p>
      <w:pPr>
        <w:spacing w:before="280" w:after="120"/>
      </w:pPr>
      <w:r>
        <w:rPr>
          <w:b/>
          <w:color w:val="000000"/>
          <w:sz w:val="28"/>
        </w:rPr>
        <w:t>5. One-Sentence Summary: Staging vs. Direct Loading</w:t>
      </w:r>
    </w:p>
    <w:p>
      <w:pPr>
        <w:spacing w:after="160"/>
      </w:pPr>
      <w:r>
        <w:rPr>
          <w:i/>
        </w:rPr>
        <w:t>Raw files pass through a staging area first to be cleaned, transformed, and validated without putting analytical performance or operational system stability at risk.</w:t>
      </w:r>
    </w:p>
    <w:p>
      <w:pPr>
        <w:spacing w:before="280" w:after="120"/>
      </w:pPr>
      <w:r>
        <w:rPr>
          <w:b/>
          <w:color w:val="000000"/>
          <w:sz w:val="28"/>
        </w:rPr>
        <w:t>The Question to Answer: Overwriting Customer Address</w:t>
      </w:r>
    </w:p>
    <w:p>
      <w:pPr>
        <w:pStyle w:val="ListBullet"/>
        <w:spacing w:after="80"/>
      </w:pPr>
      <w:r>
        <w:rPr>
          <w:b/>
        </w:rPr>
        <w:t>Which Inmon property does overwriting an address break?</w:t>
        <w:br/>
      </w:r>
      <w:r>
        <w:t xml:space="preserve">It breaks the </w:t>
      </w:r>
      <w:r>
        <w:rPr>
          <w:b/>
        </w:rPr>
        <w:t>Time-Variant</w:t>
      </w:r>
      <w:r>
        <w:t xml:space="preserve"> property (and violates </w:t>
      </w:r>
      <w:r>
        <w:rPr>
          <w:b/>
        </w:rPr>
        <w:t>Non-Volatility</w:t>
      </w:r>
      <w:r>
        <w:t>) because historical tracking for that customer's past location is permanently destroyed.</w:t>
      </w:r>
    </w:p>
    <w:p>
      <w:pPr>
        <w:pStyle w:val="ListBullet"/>
        <w:spacing w:after="120"/>
      </w:pPr>
      <w:r>
        <w:rPr>
          <w:b/>
        </w:rPr>
        <w:t>What should the warehouse have done instead?</w:t>
        <w:br/>
      </w:r>
      <w:r>
        <w:t xml:space="preserve">The warehouse should use </w:t>
      </w:r>
      <w:r>
        <w:rPr>
          <w:b/>
        </w:rPr>
        <w:t>Type 2 Slowly Changing Dimensions (SCD Type 2)</w:t>
      </w:r>
      <w:r>
        <w:t xml:space="preserve"> by inserting a new row with the updated address, effective start/end dates, and a current record flag, while keeping the old address row intact.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