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Vocivo Communications</w:t>
      </w:r>
    </w:p>
    <w:p>
      <w:pPr>
        <w:pStyle w:val="Subtitle"/>
      </w:pPr>
      <w:r>
        <w:t>Project Initiation Document</w:t>
      </w:r>
    </w:p>
    <w:p>
      <w:pPr>
        <w:pStyle w:val="Heading1"/>
      </w:pPr>
      <w:r>
        <w:t>Code Review and Production Stabilization</w:t>
      </w:r>
    </w:p>
    <w:p>
      <w:r>
        <w:t>We are seeking an experienced engineering partner to review, stabilize and strengthen Vocivo, our existing mobile-first business communications platform. The assignment is to improve the current product with traceable, tested changes while preserving customer accounts, tenant separation and working call flows.</w:t>
      </w:r>
    </w:p>
    <w:p>
      <w:r>
        <w:t>This document defines the product, implementation baseline, review scope, deliverables and proposed acceptance criteria. The developer should use it to prepare a diagnostic plan and a phased commercial proposal before undertaking remediation.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3"/>
        <w:gridCol w:w="6782"/>
      </w:tblGrid>
      <w:tr>
        <w:trPr>
          <w:cantSplit/>
          <w:tblHeader/>
        </w:trPr>
        <w:tc>
          <w:tcPr>
            <w:tcW w:type="dxa" w:w="3053"/>
            <w:vAlign w:val="center"/>
            <w:tcMar>
              <w:top w:w="95" w:type="dxa"/>
              <w:bottom w:w="95" w:type="dxa"/>
              <w:left w:w="110" w:type="dxa"/>
              <w:right w:w="110" w:type="dxa"/>
            </w:tcMar>
            <w:shd w:fill="DCEAF5"/>
          </w:tcPr>
          <w:p>
            <w:pPr>
              <w:spacing w:after="0" w:line="259" w:lineRule="auto"/>
            </w:pPr>
            <w:r>
              <w:rPr>
                <w:b/>
                <w:color w:val="000000"/>
                <w:sz w:val="19"/>
              </w:rPr>
              <w:t>Document control</w:t>
            </w:r>
          </w:p>
        </w:tc>
        <w:tc>
          <w:tcPr>
            <w:tcW w:type="dxa" w:w="6782"/>
            <w:vAlign w:val="center"/>
            <w:tcMar>
              <w:top w:w="95" w:type="dxa"/>
              <w:bottom w:w="95" w:type="dxa"/>
              <w:left w:w="110" w:type="dxa"/>
              <w:right w:w="110" w:type="dxa"/>
            </w:tcMar>
            <w:shd w:fill="DCEAF5"/>
          </w:tcPr>
          <w:p>
            <w:pPr>
              <w:spacing w:after="0" w:line="259" w:lineRule="auto"/>
            </w:pPr>
            <w:r>
              <w:rPr>
                <w:b/>
                <w:color w:val="000000"/>
                <w:sz w:val="19"/>
              </w:rPr>
              <w:t>Value</w:t>
            </w:r>
          </w:p>
        </w:tc>
      </w:tr>
      <w:tr>
        <w:trPr>
          <w:cantSplit/>
        </w:trPr>
        <w:tc>
          <w:tcPr>
            <w:tcW w:type="dxa" w:w="3053"/>
            <w:vAlign w:val="center"/>
            <w:tcMar>
              <w:top w:w="95" w:type="dxa"/>
              <w:bottom w:w="95" w:type="dxa"/>
              <w:left w:w="110" w:type="dxa"/>
              <w:right w:w="110" w:type="dxa"/>
            </w:tcMar>
            <w:shd w:fill="FFFFFF"/>
          </w:tcPr>
          <w:p>
            <w:pPr>
              <w:spacing w:after="0" w:line="259" w:lineRule="auto"/>
            </w:pPr>
            <w:r>
              <w:rPr>
                <w:b w:val="0"/>
                <w:color w:val="000000"/>
                <w:sz w:val="19"/>
              </w:rPr>
              <w:t>Product owner and sponsor</w:t>
            </w:r>
          </w:p>
        </w:tc>
        <w:tc>
          <w:tcPr>
            <w:tcW w:type="dxa" w:w="6782"/>
            <w:vAlign w:val="center"/>
            <w:tcMar>
              <w:top w:w="95" w:type="dxa"/>
              <w:bottom w:w="95" w:type="dxa"/>
              <w:left w:w="110" w:type="dxa"/>
              <w:right w:w="110" w:type="dxa"/>
            </w:tcMar>
            <w:shd w:fill="FFFFFF"/>
          </w:tcPr>
          <w:p>
            <w:pPr>
              <w:spacing w:after="0" w:line="259" w:lineRule="auto"/>
            </w:pPr>
            <w:r>
              <w:rPr>
                <w:b w:val="0"/>
                <w:color w:val="000000"/>
                <w:sz w:val="19"/>
              </w:rPr>
              <w:t>Vocivo Communications</w:t>
            </w:r>
          </w:p>
        </w:tc>
      </w:tr>
      <w:tr>
        <w:trPr>
          <w:cantSplit/>
        </w:trPr>
        <w:tc>
          <w:tcPr>
            <w:tcW w:type="dxa" w:w="3053"/>
            <w:vAlign w:val="center"/>
            <w:tcMar>
              <w:top w:w="95" w:type="dxa"/>
              <w:bottom w:w="95" w:type="dxa"/>
              <w:left w:w="110" w:type="dxa"/>
              <w:right w:w="110" w:type="dxa"/>
            </w:tcMar>
            <w:shd w:fill="F5F7FA"/>
          </w:tcPr>
          <w:p>
            <w:pPr>
              <w:spacing w:after="0" w:line="259" w:lineRule="auto"/>
            </w:pPr>
            <w:r>
              <w:rPr>
                <w:b w:val="0"/>
                <w:color w:val="000000"/>
                <w:sz w:val="19"/>
              </w:rPr>
              <w:t>Intended recipient</w:t>
            </w:r>
          </w:p>
        </w:tc>
        <w:tc>
          <w:tcPr>
            <w:tcW w:type="dxa" w:w="6782"/>
            <w:vAlign w:val="center"/>
            <w:tcMar>
              <w:top w:w="95" w:type="dxa"/>
              <w:bottom w:w="95" w:type="dxa"/>
              <w:left w:w="110" w:type="dxa"/>
              <w:right w:w="110" w:type="dxa"/>
            </w:tcMar>
            <w:shd w:fill="F5F7FA"/>
          </w:tcPr>
          <w:p>
            <w:pPr>
              <w:spacing w:after="0" w:line="259" w:lineRule="auto"/>
            </w:pPr>
            <w:r>
              <w:rPr>
                <w:b w:val="0"/>
                <w:color w:val="000000"/>
                <w:sz w:val="19"/>
              </w:rPr>
              <w:t>Prospective senior telephony engineer or delivery team</w:t>
            </w:r>
          </w:p>
        </w:tc>
      </w:tr>
      <w:tr>
        <w:trPr>
          <w:cantSplit/>
        </w:trPr>
        <w:tc>
          <w:tcPr>
            <w:tcW w:type="dxa" w:w="3053"/>
            <w:vAlign w:val="center"/>
            <w:tcMar>
              <w:top w:w="95" w:type="dxa"/>
              <w:bottom w:w="95" w:type="dxa"/>
              <w:left w:w="110" w:type="dxa"/>
              <w:right w:w="110" w:type="dxa"/>
            </w:tcMar>
            <w:shd w:fill="FFFFFF"/>
          </w:tcPr>
          <w:p>
            <w:pPr>
              <w:spacing w:after="0" w:line="259" w:lineRule="auto"/>
            </w:pPr>
            <w:r>
              <w:rPr>
                <w:b w:val="0"/>
                <w:color w:val="000000"/>
                <w:sz w:val="19"/>
              </w:rPr>
              <w:t>Document date and version</w:t>
            </w:r>
          </w:p>
        </w:tc>
        <w:tc>
          <w:tcPr>
            <w:tcW w:type="dxa" w:w="6782"/>
            <w:vAlign w:val="center"/>
            <w:tcMar>
              <w:top w:w="95" w:type="dxa"/>
              <w:bottom w:w="95" w:type="dxa"/>
              <w:left w:w="110" w:type="dxa"/>
              <w:right w:w="110" w:type="dxa"/>
            </w:tcMar>
            <w:shd w:fill="FFFFFF"/>
          </w:tcPr>
          <w:p>
            <w:pPr>
              <w:spacing w:after="0" w:line="259" w:lineRule="auto"/>
            </w:pPr>
            <w:r>
              <w:rPr>
                <w:b w:val="0"/>
                <w:color w:val="000000"/>
                <w:sz w:val="19"/>
              </w:rPr>
              <w:t>5 September 2026  |  Version 1.0</w:t>
            </w:r>
          </w:p>
        </w:tc>
      </w:tr>
      <w:tr>
        <w:trPr>
          <w:cantSplit/>
        </w:trPr>
        <w:tc>
          <w:tcPr>
            <w:tcW w:type="dxa" w:w="3053"/>
            <w:vAlign w:val="center"/>
            <w:tcMar>
              <w:top w:w="95" w:type="dxa"/>
              <w:bottom w:w="95" w:type="dxa"/>
              <w:left w:w="110" w:type="dxa"/>
              <w:right w:w="110" w:type="dxa"/>
            </w:tcMar>
            <w:shd w:fill="F5F7FA"/>
          </w:tcPr>
          <w:p>
            <w:pPr>
              <w:spacing w:after="0" w:line="259" w:lineRule="auto"/>
            </w:pPr>
            <w:r>
              <w:rPr>
                <w:b w:val="0"/>
                <w:color w:val="000000"/>
                <w:sz w:val="19"/>
              </w:rPr>
              <w:t>Source baseline</w:t>
            </w:r>
          </w:p>
        </w:tc>
        <w:tc>
          <w:tcPr>
            <w:tcW w:type="dxa" w:w="6782"/>
            <w:vAlign w:val="center"/>
            <w:tcMar>
              <w:top w:w="95" w:type="dxa"/>
              <w:bottom w:w="95" w:type="dxa"/>
              <w:left w:w="110" w:type="dxa"/>
              <w:right w:w="110" w:type="dxa"/>
            </w:tcMar>
            <w:shd w:fill="F5F7FA"/>
          </w:tcPr>
          <w:p>
            <w:pPr>
              <w:spacing w:after="0" w:line="259" w:lineRule="auto"/>
            </w:pPr>
            <w:r>
              <w:rPr>
                <w:b w:val="0"/>
                <w:color w:val="000000"/>
                <w:sz w:val="19"/>
              </w:rPr>
              <w:t>Local repository commit fca9d6f  |  dated 5 September 2026</w:t>
            </w:r>
          </w:p>
        </w:tc>
      </w:tr>
      <w:tr>
        <w:trPr>
          <w:cantSplit/>
        </w:trPr>
        <w:tc>
          <w:tcPr>
            <w:tcW w:type="dxa" w:w="3053"/>
            <w:vAlign w:val="center"/>
            <w:tcMar>
              <w:top w:w="95" w:type="dxa"/>
              <w:bottom w:w="95" w:type="dxa"/>
              <w:left w:w="110" w:type="dxa"/>
              <w:right w:w="110" w:type="dxa"/>
            </w:tcMar>
            <w:shd w:fill="FFFFFF"/>
          </w:tcPr>
          <w:p>
            <w:pPr>
              <w:spacing w:after="0" w:line="259" w:lineRule="auto"/>
            </w:pPr>
            <w:r>
              <w:rPr>
                <w:b w:val="0"/>
                <w:color w:val="000000"/>
                <w:sz w:val="19"/>
              </w:rPr>
              <w:t>Engagement status</w:t>
            </w:r>
          </w:p>
        </w:tc>
        <w:tc>
          <w:tcPr>
            <w:tcW w:type="dxa" w:w="6782"/>
            <w:vAlign w:val="center"/>
            <w:tcMar>
              <w:top w:w="95" w:type="dxa"/>
              <w:bottom w:w="95" w:type="dxa"/>
              <w:left w:w="110" w:type="dxa"/>
              <w:right w:w="110" w:type="dxa"/>
            </w:tcMar>
            <w:shd w:fill="FFFFFF"/>
          </w:tcPr>
          <w:p>
            <w:pPr>
              <w:spacing w:after="0" w:line="259" w:lineRule="auto"/>
            </w:pPr>
            <w:r>
              <w:rPr>
                <w:b w:val="0"/>
                <w:color w:val="000000"/>
                <w:sz w:val="19"/>
              </w:rPr>
              <w:t>Scope for estimation and agreement; no budget or delivery date committed</w:t>
            </w:r>
          </w:p>
        </w:tc>
      </w:tr>
      <w:tr>
        <w:trPr>
          <w:cantSplit/>
        </w:trPr>
        <w:tc>
          <w:tcPr>
            <w:tcW w:type="dxa" w:w="3053"/>
            <w:vAlign w:val="center"/>
            <w:tcMar>
              <w:top w:w="95" w:type="dxa"/>
              <w:bottom w:w="95" w:type="dxa"/>
              <w:left w:w="110" w:type="dxa"/>
              <w:right w:w="110" w:type="dxa"/>
            </w:tcMar>
            <w:shd w:fill="F5F7FA"/>
          </w:tcPr>
          <w:p>
            <w:pPr>
              <w:spacing w:after="0" w:line="259" w:lineRule="auto"/>
            </w:pPr>
            <w:r>
              <w:rPr>
                <w:b w:val="0"/>
                <w:color w:val="000000"/>
                <w:sz w:val="19"/>
              </w:rPr>
              <w:t>Distribution</w:t>
            </w:r>
          </w:p>
        </w:tc>
        <w:tc>
          <w:tcPr>
            <w:tcW w:type="dxa" w:w="6782"/>
            <w:vAlign w:val="center"/>
            <w:tcMar>
              <w:top w:w="95" w:type="dxa"/>
              <w:bottom w:w="95" w:type="dxa"/>
              <w:left w:w="110" w:type="dxa"/>
              <w:right w:w="110" w:type="dxa"/>
            </w:tcMar>
            <w:shd w:fill="F5F7FA"/>
          </w:tcPr>
          <w:p>
            <w:pPr>
              <w:spacing w:after="0" w:line="259" w:lineRule="auto"/>
            </w:pPr>
            <w:r>
              <w:rPr>
                <w:b w:val="0"/>
                <w:color w:val="000000"/>
                <w:sz w:val="19"/>
              </w:rPr>
              <w:t>Share with prospective delivery partners; keep repository access controlled</w:t>
            </w:r>
          </w:p>
        </w:tc>
      </w:tr>
    </w:tbl>
    <w:p>
      <w:pPr>
        <w:spacing w:after="20"/>
      </w:pPr>
      <w:r/>
    </w:p>
    <w:p>
      <w:pPr>
        <w:pStyle w:val="Heading2"/>
      </w:pPr>
      <w:r>
        <w:t>What we want to achieve</w:t>
      </w:r>
    </w:p>
    <w:p>
      <w:pPr>
        <w:pStyle w:val="ListBullet"/>
        <w:spacing w:after="100"/>
      </w:pPr>
      <w:r>
        <w:t>Reliable extension and external calling across supported web browsers, iPhones and Android devices, including background ringing and two-way audio.</w:t>
      </w:r>
    </w:p>
    <w:p>
      <w:pPr>
        <w:pStyle w:val="ListBullet"/>
        <w:spacing w:after="100"/>
      </w:pPr>
      <w:r>
        <w:t>Correct separation between Vocivo platform administration, customer-company administration and individual user access.</w:t>
      </w:r>
    </w:p>
    <w:p>
      <w:pPr>
        <w:pStyle w:val="ListBullet"/>
        <w:spacing w:after="100"/>
      </w:pPr>
      <w:r>
        <w:t>A maintainable codebase with reproducible failures, regression tests, useful diagnostics and documented release procedures.</w:t>
      </w:r>
    </w:p>
    <w:p>
      <w:pPr>
        <w:pStyle w:val="Heading2"/>
      </w:pPr>
      <w:r>
        <w:t>Engagement principle</w:t>
      </w:r>
    </w:p>
    <w:p>
      <w:r>
        <w:t>Start with a bounded diagnostic milestone. Reproduce a reported failure, identify the responsible layer, explain the root cause, and prove the fix with tests and device evidence. Do not begin another provider migration or wholesale rewrite without an approved architectural decision.</w:t>
      </w:r>
    </w:p>
    <w:p>
      <w:r>
        <w:rPr>
          <w:b/>
        </w:rPr>
        <w:t>Source presence is not production certification.</w:t>
      </w:r>
      <w:r>
        <w:t xml:space="preserve"> A feature described as present below has an implementation or configuration surface in the baseline; each supported workflow still needs acceptance evidence. Proposed performance targets are requirements for agreement, not measured results.</w:t>
      </w:r>
    </w:p>
    <w:p>
      <w:pPr>
        <w:pStyle w:val="Heading1"/>
        <w:pageBreakBefore/>
      </w:pPr>
      <w:r>
        <w:t>1 Product Model and Scope</w:t>
      </w:r>
    </w:p>
    <w:p>
      <w:r>
        <w:t>Vocivo brings colleagues and customers together through a business phone identity. Employees should be able to communicate through company numbers and extensions without routinely exposing personal phone numbers. Personal and business experiences coexist, but they must not blur account ownership or permissions.</w:t>
      </w:r>
    </w:p>
    <w:p>
      <w:pPr>
        <w:pStyle w:val="Heading2"/>
      </w:pPr>
      <w:r>
        <w:t>Ownership and access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3960"/>
        <w:gridCol w:w="3931"/>
      </w:tblGrid>
      <w:tr>
        <w:trPr>
          <w:cantSplit/>
          <w:tblHeader/>
        </w:trPr>
        <w:tc>
          <w:tcPr>
            <w:tcW w:type="dxa" w:w="1944"/>
            <w:vAlign w:val="center"/>
            <w:tcMar>
              <w:top w:w="95" w:type="dxa"/>
              <w:bottom w:w="95" w:type="dxa"/>
              <w:left w:w="110" w:type="dxa"/>
              <w:right w:w="110" w:type="dxa"/>
            </w:tcMar>
            <w:shd w:fill="DCEAF5"/>
          </w:tcPr>
          <w:p>
            <w:pPr>
              <w:spacing w:after="0" w:line="259" w:lineRule="auto"/>
            </w:pPr>
            <w:r>
              <w:rPr>
                <w:b/>
                <w:color w:val="000000"/>
                <w:sz w:val="19"/>
              </w:rPr>
              <w:t>Actor</w:t>
            </w:r>
          </w:p>
        </w:tc>
        <w:tc>
          <w:tcPr>
            <w:tcW w:type="dxa" w:w="3960"/>
            <w:vAlign w:val="center"/>
            <w:tcMar>
              <w:top w:w="95" w:type="dxa"/>
              <w:bottom w:w="95" w:type="dxa"/>
              <w:left w:w="110" w:type="dxa"/>
              <w:right w:w="110" w:type="dxa"/>
            </w:tcMar>
            <w:shd w:fill="DCEAF5"/>
          </w:tcPr>
          <w:p>
            <w:pPr>
              <w:spacing w:after="0" w:line="259" w:lineRule="auto"/>
            </w:pPr>
            <w:r>
              <w:rPr>
                <w:b/>
                <w:color w:val="000000"/>
                <w:sz w:val="19"/>
              </w:rPr>
              <w:t>Business responsibility</w:t>
            </w:r>
          </w:p>
        </w:tc>
        <w:tc>
          <w:tcPr>
            <w:tcW w:type="dxa" w:w="3931"/>
            <w:vAlign w:val="center"/>
            <w:tcMar>
              <w:top w:w="95" w:type="dxa"/>
              <w:bottom w:w="95" w:type="dxa"/>
              <w:left w:w="110" w:type="dxa"/>
              <w:right w:w="110" w:type="dxa"/>
            </w:tcMar>
            <w:shd w:fill="DCEAF5"/>
          </w:tcPr>
          <w:p>
            <w:pPr>
              <w:spacing w:after="0" w:line="259" w:lineRule="auto"/>
            </w:pPr>
            <w:r>
              <w:rPr>
                <w:b/>
                <w:color w:val="000000"/>
                <w:sz w:val="19"/>
              </w:rPr>
              <w:t>Required boundary</w:t>
            </w:r>
          </w:p>
        </w:tc>
      </w:tr>
      <w:tr>
        <w:trPr>
          <w:cantSplit/>
        </w:trPr>
        <w:tc>
          <w:tcPr>
            <w:tcW w:type="dxa" w:w="1944"/>
            <w:vAlign w:val="center"/>
            <w:tcMar>
              <w:top w:w="95" w:type="dxa"/>
              <w:bottom w:w="95" w:type="dxa"/>
              <w:left w:w="110" w:type="dxa"/>
              <w:right w:w="110" w:type="dxa"/>
            </w:tcMar>
            <w:shd w:fill="FFFFFF"/>
          </w:tcPr>
          <w:p>
            <w:pPr>
              <w:spacing w:after="0" w:line="259" w:lineRule="auto"/>
            </w:pPr>
            <w:r>
              <w:rPr>
                <w:b w:val="0"/>
                <w:color w:val="000000"/>
                <w:sz w:val="19"/>
              </w:rPr>
              <w:t>Vocivo superadmin</w:t>
            </w:r>
          </w:p>
        </w:tc>
        <w:tc>
          <w:tcPr>
            <w:tcW w:type="dxa" w:w="3960"/>
            <w:vAlign w:val="center"/>
            <w:tcMar>
              <w:top w:w="95" w:type="dxa"/>
              <w:bottom w:w="95" w:type="dxa"/>
              <w:left w:w="110" w:type="dxa"/>
              <w:right w:w="110" w:type="dxa"/>
            </w:tcMar>
            <w:shd w:fill="FFFFFF"/>
          </w:tcPr>
          <w:p>
            <w:pPr>
              <w:spacing w:after="0" w:line="259" w:lineRule="auto"/>
            </w:pPr>
            <w:r>
              <w:rPr>
                <w:b w:val="0"/>
                <w:color w:val="000000"/>
                <w:sz w:val="19"/>
              </w:rPr>
              <w:t>Manage customer organizations, subscription catalog, feature access, platform wallets, pricing and privileged connectivity.</w:t>
            </w:r>
          </w:p>
        </w:tc>
        <w:tc>
          <w:tcPr>
            <w:tcW w:type="dxa" w:w="3931"/>
            <w:vAlign w:val="center"/>
            <w:tcMar>
              <w:top w:w="95" w:type="dxa"/>
              <w:bottom w:w="95" w:type="dxa"/>
              <w:left w:w="110" w:type="dxa"/>
              <w:right w:w="110" w:type="dxa"/>
            </w:tcMar>
            <w:shd w:fill="FFFFFF"/>
          </w:tcPr>
          <w:p>
            <w:pPr>
              <w:spacing w:after="0" w:line="259" w:lineRule="auto"/>
            </w:pPr>
            <w:r>
              <w:rPr>
                <w:b w:val="0"/>
                <w:color w:val="000000"/>
                <w:sz w:val="19"/>
              </w:rPr>
              <w:t>Vocivo Communications owns the platform. A customer tenant must never inherit this role.</w:t>
            </w:r>
          </w:p>
        </w:tc>
      </w:tr>
      <w:tr>
        <w:trPr>
          <w:cantSplit/>
        </w:trPr>
        <w:tc>
          <w:tcPr>
            <w:tcW w:type="dxa" w:w="1944"/>
            <w:vAlign w:val="center"/>
            <w:tcMar>
              <w:top w:w="95" w:type="dxa"/>
              <w:bottom w:w="95" w:type="dxa"/>
              <w:left w:w="110" w:type="dxa"/>
              <w:right w:w="110" w:type="dxa"/>
            </w:tcMar>
            <w:shd w:fill="F5F7FA"/>
          </w:tcPr>
          <w:p>
            <w:pPr>
              <w:spacing w:after="0" w:line="259" w:lineRule="auto"/>
            </w:pPr>
            <w:r>
              <w:rPr>
                <w:b w:val="0"/>
                <w:color w:val="000000"/>
                <w:sz w:val="19"/>
              </w:rPr>
              <w:t>Company owner or admin</w:t>
            </w:r>
          </w:p>
        </w:tc>
        <w:tc>
          <w:tcPr>
            <w:tcW w:type="dxa" w:w="3960"/>
            <w:vAlign w:val="center"/>
            <w:tcMar>
              <w:top w:w="95" w:type="dxa"/>
              <w:bottom w:w="95" w:type="dxa"/>
              <w:left w:w="110" w:type="dxa"/>
              <w:right w:w="110" w:type="dxa"/>
            </w:tcMar>
            <w:shd w:fill="F5F7FA"/>
          </w:tcPr>
          <w:p>
            <w:pPr>
              <w:spacing w:after="0" w:line="259" w:lineRule="auto"/>
            </w:pPr>
            <w:r>
              <w:rPr>
                <w:b w:val="0"/>
                <w:color w:val="000000"/>
                <w:sz w:val="19"/>
              </w:rPr>
              <w:t>Manage their own company, employees, extensions, assigned numbers and permitted routing/AI settings.</w:t>
            </w:r>
          </w:p>
        </w:tc>
        <w:tc>
          <w:tcPr>
            <w:tcW w:type="dxa" w:w="3931"/>
            <w:vAlign w:val="center"/>
            <w:tcMar>
              <w:top w:w="95" w:type="dxa"/>
              <w:bottom w:w="95" w:type="dxa"/>
              <w:left w:w="110" w:type="dxa"/>
              <w:right w:w="110" w:type="dxa"/>
            </w:tcMar>
            <w:shd w:fill="F5F7FA"/>
          </w:tcPr>
          <w:p>
            <w:pPr>
              <w:spacing w:after="0" w:line="259" w:lineRule="auto"/>
            </w:pPr>
            <w:r>
              <w:rPr>
                <w:b w:val="0"/>
                <w:color w:val="000000"/>
                <w:sz w:val="19"/>
              </w:rPr>
              <w:t>Only their organization, subject to platform entitlements and approved capabilities.</w:t>
            </w:r>
          </w:p>
        </w:tc>
      </w:tr>
      <w:tr>
        <w:trPr>
          <w:cantSplit/>
        </w:trPr>
        <w:tc>
          <w:tcPr>
            <w:tcW w:type="dxa" w:w="1944"/>
            <w:vAlign w:val="center"/>
            <w:tcMar>
              <w:top w:w="95" w:type="dxa"/>
              <w:bottom w:w="95" w:type="dxa"/>
              <w:left w:w="110" w:type="dxa"/>
              <w:right w:w="110" w:type="dxa"/>
            </w:tcMar>
            <w:shd w:fill="FFFFFF"/>
          </w:tcPr>
          <w:p>
            <w:pPr>
              <w:spacing w:after="0" w:line="259" w:lineRule="auto"/>
            </w:pPr>
            <w:r>
              <w:rPr>
                <w:b w:val="0"/>
                <w:color w:val="000000"/>
                <w:sz w:val="19"/>
              </w:rPr>
              <w:t>Manager or employee</w:t>
            </w:r>
          </w:p>
        </w:tc>
        <w:tc>
          <w:tcPr>
            <w:tcW w:type="dxa" w:w="3960"/>
            <w:vAlign w:val="center"/>
            <w:tcMar>
              <w:top w:w="95" w:type="dxa"/>
              <w:bottom w:w="95" w:type="dxa"/>
              <w:left w:w="110" w:type="dxa"/>
              <w:right w:w="110" w:type="dxa"/>
            </w:tcMar>
            <w:shd w:fill="FFFFFF"/>
          </w:tcPr>
          <w:p>
            <w:pPr>
              <w:spacing w:after="0" w:line="259" w:lineRule="auto"/>
            </w:pPr>
            <w:r>
              <w:rPr>
                <w:b w:val="0"/>
                <w:color w:val="000000"/>
                <w:sz w:val="19"/>
              </w:rPr>
              <w:t>Use assigned calling, contacts, history, messaging and permitted settings.</w:t>
            </w:r>
          </w:p>
        </w:tc>
        <w:tc>
          <w:tcPr>
            <w:tcW w:type="dxa" w:w="3931"/>
            <w:vAlign w:val="center"/>
            <w:tcMar>
              <w:top w:w="95" w:type="dxa"/>
              <w:bottom w:w="95" w:type="dxa"/>
              <w:left w:w="110" w:type="dxa"/>
              <w:right w:w="110" w:type="dxa"/>
            </w:tcMar>
            <w:shd w:fill="FFFFFF"/>
          </w:tcPr>
          <w:p>
            <w:pPr>
              <w:spacing w:after="0" w:line="259" w:lineRule="auto"/>
            </w:pPr>
            <w:r>
              <w:rPr>
                <w:b w:val="0"/>
                <w:color w:val="000000"/>
                <w:sz w:val="19"/>
              </w:rPr>
              <w:t>No platform metrics, carrier secrets or another company's records.</w:t>
            </w:r>
          </w:p>
        </w:tc>
      </w:tr>
      <w:tr>
        <w:trPr>
          <w:cantSplit/>
        </w:trPr>
        <w:tc>
          <w:tcPr>
            <w:tcW w:type="dxa" w:w="1944"/>
            <w:vAlign w:val="center"/>
            <w:tcMar>
              <w:top w:w="95" w:type="dxa"/>
              <w:bottom w:w="95" w:type="dxa"/>
              <w:left w:w="110" w:type="dxa"/>
              <w:right w:w="110" w:type="dxa"/>
            </w:tcMar>
            <w:shd w:fill="F5F7FA"/>
          </w:tcPr>
          <w:p>
            <w:pPr>
              <w:spacing w:after="0" w:line="259" w:lineRule="auto"/>
            </w:pPr>
            <w:r>
              <w:rPr>
                <w:b w:val="0"/>
                <w:color w:val="000000"/>
                <w:sz w:val="19"/>
              </w:rPr>
              <w:t>Individual customer</w:t>
            </w:r>
          </w:p>
        </w:tc>
        <w:tc>
          <w:tcPr>
            <w:tcW w:type="dxa" w:w="3960"/>
            <w:vAlign w:val="center"/>
            <w:tcMar>
              <w:top w:w="95" w:type="dxa"/>
              <w:bottom w:w="95" w:type="dxa"/>
              <w:left w:w="110" w:type="dxa"/>
              <w:right w:w="110" w:type="dxa"/>
            </w:tcMar>
            <w:shd w:fill="F5F7FA"/>
          </w:tcPr>
          <w:p>
            <w:pPr>
              <w:spacing w:after="0" w:line="259" w:lineRule="auto"/>
            </w:pPr>
            <w:r>
              <w:rPr>
                <w:b w:val="0"/>
                <w:color w:val="000000"/>
                <w:sz w:val="19"/>
              </w:rPr>
              <w:t>Use a personal service profile and approved communications features.</w:t>
            </w:r>
          </w:p>
        </w:tc>
        <w:tc>
          <w:tcPr>
            <w:tcW w:type="dxa" w:w="3931"/>
            <w:vAlign w:val="center"/>
            <w:tcMar>
              <w:top w:w="95" w:type="dxa"/>
              <w:bottom w:w="95" w:type="dxa"/>
              <w:left w:w="110" w:type="dxa"/>
              <w:right w:w="110" w:type="dxa"/>
            </w:tcMar>
            <w:shd w:fill="F5F7FA"/>
          </w:tcPr>
          <w:p>
            <w:pPr>
              <w:spacing w:after="0" w:line="259" w:lineRule="auto"/>
            </w:pPr>
            <w:r>
              <w:rPr>
                <w:b w:val="0"/>
                <w:color w:val="000000"/>
                <w:sz w:val="19"/>
              </w:rPr>
              <w:t>Individual account flow must not assume a company directory or internal extensions.</w:t>
            </w:r>
          </w:p>
        </w:tc>
      </w:tr>
    </w:tbl>
    <w:p>
      <w:pPr>
        <w:spacing w:after="20"/>
      </w:pPr>
      <w:r/>
    </w:p>
    <w:p>
      <w:r>
        <w:t>Global Heritage is a customer organization, not the owner of Vocivo or its superadmin. A platform administrator is not automatically a calling extension; calling requires an authorized extension identity.</w:t>
      </w:r>
    </w:p>
    <w:p>
      <w:pPr>
        <w:pStyle w:val="Heading2"/>
      </w:pPr>
      <w:r>
        <w:t>Included in this engagement</w:t>
      </w:r>
    </w:p>
    <w:p>
      <w:pPr>
        <w:pStyle w:val="ListBullet"/>
        <w:spacing w:after="100"/>
      </w:pPr>
      <w:r>
        <w:t>Audit and targeted remediation of web, API, mobile, native calling, SIP/media infrastructure and AI receptionist paths.</w:t>
      </w:r>
    </w:p>
    <w:p>
      <w:pPr>
        <w:pStyle w:val="ListBullet"/>
        <w:spacing w:after="100"/>
      </w:pPr>
      <w:r>
        <w:t>Tenant security, session lifecycle, billing integrity, performance, tests, observability, documentation and coordinated releases.</w:t>
      </w:r>
    </w:p>
    <w:p>
      <w:pPr>
        <w:pStyle w:val="ListBullet"/>
        <w:spacing w:after="100"/>
      </w:pPr>
      <w:r>
        <w:t>Preservation of existing public routes, stored customer data and intended behavior unless an agreed migration is necessary.</w:t>
      </w:r>
    </w:p>
    <w:p>
      <w:pPr>
        <w:pStyle w:val="Heading2"/>
      </w:pPr>
      <w:r>
        <w:t>Separate approval required</w:t>
      </w:r>
    </w:p>
    <w:p>
      <w:r>
        <w:t>New payment-provider integration, eSIM resale provisioning, a different PBX/carrier, new regulatory markets, full visual redesign, and new commercial features are separate work packages. The immediate goal is stabilization, not expanding the product while core calls remain unproven.</w:t>
      </w:r>
    </w:p>
    <w:p>
      <w:pPr>
        <w:pStyle w:val="Heading2"/>
      </w:pPr>
      <w:r>
        <w:t>Internal calling and charges</w:t>
      </w:r>
    </w:p>
    <w:p>
      <w:r>
        <w:t>The business requirement is free extension-to-extension calling within a customer organization. In the current SIP-edge route code, internal calls bypass the Telnyx credit check and the customer outbound wallet gate. External PSTN calls and SMS remain carrier-dependent. Hosting, relay, AI and operational costs still exist; free to the customer does not mean zero infrastructure cost. Managed Telnyx calling is a separate path and must not silently replace the intended internal route.</w:t>
      </w:r>
    </w:p>
    <w:p>
      <w:pPr>
        <w:pStyle w:val="Heading1"/>
        <w:pageBreakBefore/>
      </w:pPr>
      <w:r>
        <w:t>2 Existing Communication Features</w:t>
      </w:r>
    </w:p>
    <w:p>
      <w:r>
        <w:t>The following capabilities are represented in the current clients, APIs or service configuration. Present means code exists. Conditional means operation depends on the selected voice engine, assigned resources, permissions or an external service. Neither label means a workflow has passed live acceptance.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73"/>
        <w:gridCol w:w="4248"/>
        <w:gridCol w:w="3614"/>
      </w:tblGrid>
      <w:tr>
        <w:trPr>
          <w:cantSplit/>
          <w:tblHeader/>
        </w:trPr>
        <w:tc>
          <w:tcPr>
            <w:tcW w:type="dxa" w:w="1973"/>
            <w:vAlign w:val="center"/>
            <w:tcMar>
              <w:top w:w="95" w:type="dxa"/>
              <w:bottom w:w="95" w:type="dxa"/>
              <w:left w:w="110" w:type="dxa"/>
              <w:right w:w="110" w:type="dxa"/>
            </w:tcMar>
            <w:shd w:fill="DCEAF5"/>
          </w:tcPr>
          <w:p>
            <w:pPr>
              <w:spacing w:after="0" w:line="259" w:lineRule="auto"/>
            </w:pPr>
            <w:r>
              <w:rPr>
                <w:b/>
                <w:color w:val="000000"/>
                <w:sz w:val="18"/>
              </w:rPr>
              <w:t>ID and capability</w:t>
            </w:r>
          </w:p>
        </w:tc>
        <w:tc>
          <w:tcPr>
            <w:tcW w:type="dxa" w:w="4248"/>
            <w:vAlign w:val="center"/>
            <w:tcMar>
              <w:top w:w="95" w:type="dxa"/>
              <w:bottom w:w="95" w:type="dxa"/>
              <w:left w:w="110" w:type="dxa"/>
              <w:right w:w="110" w:type="dxa"/>
            </w:tcMar>
            <w:shd w:fill="DCEAF5"/>
          </w:tcPr>
          <w:p>
            <w:pPr>
              <w:spacing w:after="0" w:line="259" w:lineRule="auto"/>
            </w:pPr>
            <w:r>
              <w:rPr>
                <w:b/>
                <w:color w:val="000000"/>
                <w:sz w:val="18"/>
              </w:rPr>
              <w:t>Existing function</w:t>
            </w:r>
          </w:p>
        </w:tc>
        <w:tc>
          <w:tcPr>
            <w:tcW w:type="dxa" w:w="3614"/>
            <w:vAlign w:val="center"/>
            <w:tcMar>
              <w:top w:w="95" w:type="dxa"/>
              <w:bottom w:w="95" w:type="dxa"/>
              <w:left w:w="110" w:type="dxa"/>
              <w:right w:w="110" w:type="dxa"/>
            </w:tcMar>
            <w:shd w:fill="DCEAF5"/>
          </w:tcPr>
          <w:p>
            <w:pPr>
              <w:spacing w:after="0" w:line="259" w:lineRule="auto"/>
            </w:pPr>
            <w:r>
              <w:rPr>
                <w:b/>
                <w:color w:val="000000"/>
                <w:sz w:val="18"/>
              </w:rPr>
              <w:t>Qualification</w:t>
            </w:r>
          </w:p>
        </w:tc>
      </w:tr>
      <w:tr>
        <w:trPr>
          <w:cantSplit/>
        </w:trPr>
        <w:tc>
          <w:tcPr>
            <w:tcW w:type="dxa" w:w="1973"/>
            <w:vAlign w:val="center"/>
            <w:tcMar>
              <w:top w:w="95" w:type="dxa"/>
              <w:bottom w:w="95" w:type="dxa"/>
              <w:left w:w="110" w:type="dxa"/>
              <w:right w:w="110" w:type="dxa"/>
            </w:tcMar>
            <w:shd w:fill="FFFFFF"/>
          </w:tcPr>
          <w:p>
            <w:pPr>
              <w:spacing w:after="0" w:line="259" w:lineRule="auto"/>
            </w:pPr>
            <w:r>
              <w:rPr>
                <w:b w:val="0"/>
                <w:color w:val="000000"/>
                <w:sz w:val="18"/>
              </w:rPr>
              <w:t>C01 Business extensions</w:t>
            </w:r>
          </w:p>
        </w:tc>
        <w:tc>
          <w:tcPr>
            <w:tcW w:type="dxa" w:w="4248"/>
            <w:vAlign w:val="center"/>
            <w:tcMar>
              <w:top w:w="95" w:type="dxa"/>
              <w:bottom w:w="95" w:type="dxa"/>
              <w:left w:w="110" w:type="dxa"/>
              <w:right w:w="110" w:type="dxa"/>
            </w:tcMar>
            <w:shd w:fill="FFFFFF"/>
          </w:tcPr>
          <w:p>
            <w:pPr>
              <w:spacing w:after="0" w:line="259" w:lineRule="auto"/>
            </w:pPr>
            <w:r>
              <w:rPr>
                <w:b w:val="0"/>
                <w:color w:val="000000"/>
                <w:sz w:val="18"/>
              </w:rPr>
              <w:t>Organization directory; named extensions; tenant-bound route grants; SIP registration and internal call initiation.</w:t>
            </w:r>
          </w:p>
        </w:tc>
        <w:tc>
          <w:tcPr>
            <w:tcW w:type="dxa" w:w="3614"/>
            <w:vAlign w:val="center"/>
            <w:tcMar>
              <w:top w:w="95" w:type="dxa"/>
              <w:bottom w:w="95" w:type="dxa"/>
              <w:left w:w="110" w:type="dxa"/>
              <w:right w:w="110" w:type="dxa"/>
            </w:tcMar>
            <w:shd w:fill="FFFFFF"/>
          </w:tcPr>
          <w:p>
            <w:pPr>
              <w:spacing w:after="0" w:line="259" w:lineRule="auto"/>
            </w:pPr>
            <w:r>
              <w:rPr>
                <w:b w:val="0"/>
                <w:color w:val="000000"/>
                <w:sz w:val="18"/>
              </w:rPr>
              <w:t>Present. Same-company ownership and actual multi-device delivery must be verified.</w:t>
            </w:r>
          </w:p>
        </w:tc>
      </w:tr>
      <w:tr>
        <w:trPr>
          <w:cantSplit/>
        </w:trPr>
        <w:tc>
          <w:tcPr>
            <w:tcW w:type="dxa" w:w="1973"/>
            <w:vAlign w:val="center"/>
            <w:tcMar>
              <w:top w:w="95" w:type="dxa"/>
              <w:bottom w:w="95" w:type="dxa"/>
              <w:left w:w="110" w:type="dxa"/>
              <w:right w:w="110" w:type="dxa"/>
            </w:tcMar>
            <w:shd w:fill="F5F7FA"/>
          </w:tcPr>
          <w:p>
            <w:pPr>
              <w:spacing w:after="0" w:line="259" w:lineRule="auto"/>
            </w:pPr>
            <w:r>
              <w:rPr>
                <w:b w:val="0"/>
                <w:color w:val="000000"/>
                <w:sz w:val="18"/>
              </w:rPr>
              <w:t>C02 External calling</w:t>
            </w:r>
          </w:p>
        </w:tc>
        <w:tc>
          <w:tcPr>
            <w:tcW w:type="dxa" w:w="4248"/>
            <w:vAlign w:val="center"/>
            <w:tcMar>
              <w:top w:w="95" w:type="dxa"/>
              <w:bottom w:w="95" w:type="dxa"/>
              <w:left w:w="110" w:type="dxa"/>
              <w:right w:w="110" w:type="dxa"/>
            </w:tcMar>
            <w:shd w:fill="F5F7FA"/>
          </w:tcPr>
          <w:p>
            <w:pPr>
              <w:spacing w:after="0" w:line="259" w:lineRule="auto"/>
            </w:pPr>
            <w:r>
              <w:rPr>
                <w:b w:val="0"/>
                <w:color w:val="000000"/>
                <w:sz w:val="18"/>
              </w:rPr>
              <w:t>International number entry, caller-ID selection, rates, outbound permissions and wallet checks.</w:t>
            </w:r>
          </w:p>
        </w:tc>
        <w:tc>
          <w:tcPr>
            <w:tcW w:type="dxa" w:w="3614"/>
            <w:vAlign w:val="center"/>
            <w:tcMar>
              <w:top w:w="95" w:type="dxa"/>
              <w:bottom w:w="95" w:type="dxa"/>
              <w:left w:w="110" w:type="dxa"/>
              <w:right w:w="110" w:type="dxa"/>
            </w:tcMar>
            <w:shd w:fill="F5F7FA"/>
          </w:tcPr>
          <w:p>
            <w:pPr>
              <w:spacing w:after="0" w:line="259" w:lineRule="auto"/>
            </w:pPr>
            <w:r>
              <w:rPr>
                <w:b w:val="0"/>
                <w:color w:val="000000"/>
                <w:sz w:val="18"/>
              </w:rPr>
              <w:t>Conditional. Requires an assigned/verified identity and a usable carrier route.</w:t>
            </w:r>
          </w:p>
        </w:tc>
      </w:tr>
      <w:tr>
        <w:trPr>
          <w:cantSplit/>
        </w:trPr>
        <w:tc>
          <w:tcPr>
            <w:tcW w:type="dxa" w:w="1973"/>
            <w:vAlign w:val="center"/>
            <w:tcMar>
              <w:top w:w="95" w:type="dxa"/>
              <w:bottom w:w="95" w:type="dxa"/>
              <w:left w:w="110" w:type="dxa"/>
              <w:right w:w="110" w:type="dxa"/>
            </w:tcMar>
            <w:shd w:fill="FFFFFF"/>
          </w:tcPr>
          <w:p>
            <w:pPr>
              <w:spacing w:after="0" w:line="259" w:lineRule="auto"/>
            </w:pPr>
            <w:r>
              <w:rPr>
                <w:b w:val="0"/>
                <w:color w:val="000000"/>
                <w:sz w:val="18"/>
              </w:rPr>
              <w:t>C03 Incoming calls</w:t>
            </w:r>
          </w:p>
        </w:tc>
        <w:tc>
          <w:tcPr>
            <w:tcW w:type="dxa" w:w="4248"/>
            <w:vAlign w:val="center"/>
            <w:tcMar>
              <w:top w:w="95" w:type="dxa"/>
              <w:bottom w:w="95" w:type="dxa"/>
              <w:left w:w="110" w:type="dxa"/>
              <w:right w:w="110" w:type="dxa"/>
            </w:tcMar>
            <w:shd w:fill="FFFFFF"/>
          </w:tcPr>
          <w:p>
            <w:pPr>
              <w:spacing w:after="0" w:line="259" w:lineRule="auto"/>
            </w:pPr>
            <w:r>
              <w:rPr>
                <w:b w:val="0"/>
                <w:color w:val="000000"/>
                <w:sz w:val="18"/>
              </w:rPr>
              <w:t>Web incoming-call controls; native iOS and Android ringing/answer integration; caller name and extension metadata.</w:t>
            </w:r>
          </w:p>
        </w:tc>
        <w:tc>
          <w:tcPr>
            <w:tcW w:type="dxa" w:w="3614"/>
            <w:vAlign w:val="center"/>
            <w:tcMar>
              <w:top w:w="95" w:type="dxa"/>
              <w:bottom w:w="95" w:type="dxa"/>
              <w:left w:w="110" w:type="dxa"/>
              <w:right w:w="110" w:type="dxa"/>
            </w:tcMar>
            <w:shd w:fill="FFFFFF"/>
          </w:tcPr>
          <w:p>
            <w:pPr>
              <w:spacing w:after="0" w:line="259" w:lineRule="auto"/>
            </w:pPr>
            <w:r>
              <w:rPr>
                <w:b w:val="0"/>
                <w:color w:val="000000"/>
                <w:sz w:val="18"/>
              </w:rPr>
              <w:t>Present. Push registration, cold starts and answer timing require physical-device validation.</w:t>
            </w:r>
          </w:p>
        </w:tc>
      </w:tr>
      <w:tr>
        <w:trPr>
          <w:cantSplit/>
        </w:trPr>
        <w:tc>
          <w:tcPr>
            <w:tcW w:type="dxa" w:w="1973"/>
            <w:vAlign w:val="center"/>
            <w:tcMar>
              <w:top w:w="95" w:type="dxa"/>
              <w:bottom w:w="95" w:type="dxa"/>
              <w:left w:w="110" w:type="dxa"/>
              <w:right w:w="110" w:type="dxa"/>
            </w:tcMar>
            <w:shd w:fill="F5F7FA"/>
          </w:tcPr>
          <w:p>
            <w:pPr>
              <w:spacing w:after="0" w:line="259" w:lineRule="auto"/>
            </w:pPr>
            <w:r>
              <w:rPr>
                <w:b w:val="0"/>
                <w:color w:val="000000"/>
                <w:sz w:val="18"/>
              </w:rPr>
              <w:t>C04 In-call controls</w:t>
            </w:r>
          </w:p>
        </w:tc>
        <w:tc>
          <w:tcPr>
            <w:tcW w:type="dxa" w:w="4248"/>
            <w:vAlign w:val="center"/>
            <w:tcMar>
              <w:top w:w="95" w:type="dxa"/>
              <w:bottom w:w="95" w:type="dxa"/>
              <w:left w:w="110" w:type="dxa"/>
              <w:right w:w="110" w:type="dxa"/>
            </w:tcMar>
            <w:shd w:fill="F5F7FA"/>
          </w:tcPr>
          <w:p>
            <w:pPr>
              <w:spacing w:after="0" w:line="259" w:lineRule="auto"/>
            </w:pPr>
            <w:r>
              <w:rPr>
                <w:b w:val="0"/>
                <w:color w:val="000000"/>
                <w:sz w:val="18"/>
              </w:rPr>
              <w:t>Mute, hold/resume, speaker, DTMF, second call and call-waiting actions; state and duration display.</w:t>
            </w:r>
          </w:p>
        </w:tc>
        <w:tc>
          <w:tcPr>
            <w:tcW w:type="dxa" w:w="3614"/>
            <w:vAlign w:val="center"/>
            <w:tcMar>
              <w:top w:w="95" w:type="dxa"/>
              <w:bottom w:w="95" w:type="dxa"/>
              <w:left w:w="110" w:type="dxa"/>
              <w:right w:w="110" w:type="dxa"/>
            </w:tcMar>
            <w:shd w:fill="F5F7FA"/>
          </w:tcPr>
          <w:p>
            <w:pPr>
              <w:spacing w:after="0" w:line="259" w:lineRule="auto"/>
            </w:pPr>
            <w:r>
              <w:rPr>
                <w:b w:val="0"/>
                <w:color w:val="000000"/>
                <w:sz w:val="18"/>
              </w:rPr>
              <w:t>Present in contracts/UI. Confirm control parity and actual media behavior per engine.</w:t>
            </w:r>
          </w:p>
        </w:tc>
      </w:tr>
      <w:tr>
        <w:trPr>
          <w:cantSplit/>
        </w:trPr>
        <w:tc>
          <w:tcPr>
            <w:tcW w:type="dxa" w:w="1973"/>
            <w:vAlign w:val="center"/>
            <w:tcMar>
              <w:top w:w="95" w:type="dxa"/>
              <w:bottom w:w="95" w:type="dxa"/>
              <w:left w:w="110" w:type="dxa"/>
              <w:right w:w="110" w:type="dxa"/>
            </w:tcMar>
            <w:shd w:fill="FFFFFF"/>
          </w:tcPr>
          <w:p>
            <w:pPr>
              <w:spacing w:after="0" w:line="259" w:lineRule="auto"/>
            </w:pPr>
            <w:r>
              <w:rPr>
                <w:b w:val="0"/>
                <w:color w:val="000000"/>
                <w:sz w:val="18"/>
              </w:rPr>
              <w:t>C05 Transfers and conferences</w:t>
            </w:r>
          </w:p>
        </w:tc>
        <w:tc>
          <w:tcPr>
            <w:tcW w:type="dxa" w:w="4248"/>
            <w:vAlign w:val="center"/>
            <w:tcMar>
              <w:top w:w="95" w:type="dxa"/>
              <w:bottom w:w="95" w:type="dxa"/>
              <w:left w:w="110" w:type="dxa"/>
              <w:right w:w="110" w:type="dxa"/>
            </w:tcMar>
            <w:shd w:fill="FFFFFF"/>
          </w:tcPr>
          <w:p>
            <w:pPr>
              <w:spacing w:after="0" w:line="259" w:lineRule="auto"/>
            </w:pPr>
            <w:r>
              <w:rPr>
                <w:b w:val="0"/>
                <w:color w:val="000000"/>
                <w:sz w:val="18"/>
              </w:rPr>
              <w:t>Transfer routes; waiting-call swap and merge methods; conference participants and removal controls.</w:t>
            </w:r>
          </w:p>
        </w:tc>
        <w:tc>
          <w:tcPr>
            <w:tcW w:type="dxa" w:w="3614"/>
            <w:vAlign w:val="center"/>
            <w:tcMar>
              <w:top w:w="95" w:type="dxa"/>
              <w:bottom w:w="95" w:type="dxa"/>
              <w:left w:w="110" w:type="dxa"/>
              <w:right w:w="110" w:type="dxa"/>
            </w:tcMar>
            <w:shd w:fill="FFFFFF"/>
          </w:tcPr>
          <w:p>
            <w:pPr>
              <w:spacing w:after="0" w:line="259" w:lineRule="auto"/>
            </w:pPr>
            <w:r>
              <w:rPr>
                <w:b w:val="0"/>
                <w:color w:val="000000"/>
                <w:sz w:val="18"/>
              </w:rPr>
              <w:t>Conditional. Managed conference code exists; SIP conference admission is deliberately restricted.</w:t>
            </w:r>
          </w:p>
        </w:tc>
      </w:tr>
      <w:tr>
        <w:trPr>
          <w:cantSplit/>
        </w:trPr>
        <w:tc>
          <w:tcPr>
            <w:tcW w:type="dxa" w:w="1973"/>
            <w:vAlign w:val="center"/>
            <w:tcMar>
              <w:top w:w="95" w:type="dxa"/>
              <w:bottom w:w="95" w:type="dxa"/>
              <w:left w:w="110" w:type="dxa"/>
              <w:right w:w="110" w:type="dxa"/>
            </w:tcMar>
            <w:shd w:fill="F5F7FA"/>
          </w:tcPr>
          <w:p>
            <w:pPr>
              <w:spacing w:after="0" w:line="259" w:lineRule="auto"/>
            </w:pPr>
            <w:r>
              <w:rPr>
                <w:b w:val="0"/>
                <w:color w:val="000000"/>
                <w:sz w:val="18"/>
              </w:rPr>
              <w:t>C06 History and voicemail</w:t>
            </w:r>
          </w:p>
        </w:tc>
        <w:tc>
          <w:tcPr>
            <w:tcW w:type="dxa" w:w="4248"/>
            <w:vAlign w:val="center"/>
            <w:tcMar>
              <w:top w:w="95" w:type="dxa"/>
              <w:bottom w:w="95" w:type="dxa"/>
              <w:left w:w="110" w:type="dxa"/>
              <w:right w:w="110" w:type="dxa"/>
            </w:tcMar>
            <w:shd w:fill="F5F7FA"/>
          </w:tcPr>
          <w:p>
            <w:pPr>
              <w:spacing w:after="0" w:line="259" w:lineRule="auto"/>
            </w:pPr>
            <w:r>
              <w:rPr>
                <w:b w:val="0"/>
                <w:color w:val="000000"/>
                <w:sz w:val="18"/>
              </w:rPr>
              <w:t>Call-event/history stores, recent-call views, voicemail APIs, disposition and duration data.</w:t>
            </w:r>
          </w:p>
        </w:tc>
        <w:tc>
          <w:tcPr>
            <w:tcW w:type="dxa" w:w="3614"/>
            <w:vAlign w:val="center"/>
            <w:tcMar>
              <w:top w:w="95" w:type="dxa"/>
              <w:bottom w:w="95" w:type="dxa"/>
              <w:left w:w="110" w:type="dxa"/>
              <w:right w:w="110" w:type="dxa"/>
            </w:tcMar>
            <w:shd w:fill="F5F7FA"/>
          </w:tcPr>
          <w:p>
            <w:pPr>
              <w:spacing w:after="0" w:line="259" w:lineRule="auto"/>
            </w:pPr>
            <w:r>
              <w:rPr>
                <w:b w:val="0"/>
                <w:color w:val="000000"/>
                <w:sz w:val="18"/>
              </w:rPr>
              <w:t>Conditional. Audit persistence, visibility, retention, playback and available transcription paths.</w:t>
            </w:r>
          </w:p>
        </w:tc>
      </w:tr>
      <w:tr>
        <w:trPr>
          <w:cantSplit/>
        </w:trPr>
        <w:tc>
          <w:tcPr>
            <w:tcW w:type="dxa" w:w="1973"/>
            <w:vAlign w:val="center"/>
            <w:tcMar>
              <w:top w:w="95" w:type="dxa"/>
              <w:bottom w:w="95" w:type="dxa"/>
              <w:left w:w="110" w:type="dxa"/>
              <w:right w:w="110" w:type="dxa"/>
            </w:tcMar>
            <w:shd w:fill="FFFFFF"/>
          </w:tcPr>
          <w:p>
            <w:pPr>
              <w:spacing w:after="0" w:line="259" w:lineRule="auto"/>
            </w:pPr>
            <w:r>
              <w:rPr>
                <w:b w:val="0"/>
                <w:color w:val="000000"/>
                <w:sz w:val="18"/>
              </w:rPr>
              <w:t>C07 Routing and availability</w:t>
            </w:r>
          </w:p>
        </w:tc>
        <w:tc>
          <w:tcPr>
            <w:tcW w:type="dxa" w:w="4248"/>
            <w:vAlign w:val="center"/>
            <w:tcMar>
              <w:top w:w="95" w:type="dxa"/>
              <w:bottom w:w="95" w:type="dxa"/>
              <w:left w:w="110" w:type="dxa"/>
              <w:right w:w="110" w:type="dxa"/>
            </w:tcMar>
            <w:shd w:fill="FFFFFF"/>
          </w:tcPr>
          <w:p>
            <w:pPr>
              <w:spacing w:after="0" w:line="259" w:lineRule="auto"/>
            </w:pPr>
            <w:r>
              <w:rPr>
                <w:b w:val="0"/>
                <w:color w:val="000000"/>
                <w:sz w:val="18"/>
              </w:rPr>
              <w:t>Office hours, user forwarding, simultaneous ring, queues, ring groups, IVR and unanswered-call handling.</w:t>
            </w:r>
          </w:p>
        </w:tc>
        <w:tc>
          <w:tcPr>
            <w:tcW w:type="dxa" w:w="3614"/>
            <w:vAlign w:val="center"/>
            <w:tcMar>
              <w:top w:w="95" w:type="dxa"/>
              <w:bottom w:w="95" w:type="dxa"/>
              <w:left w:w="110" w:type="dxa"/>
              <w:right w:w="110" w:type="dxa"/>
            </w:tcMar>
            <w:shd w:fill="FFFFFF"/>
          </w:tcPr>
          <w:p>
            <w:pPr>
              <w:spacing w:after="0" w:line="259" w:lineRule="auto"/>
            </w:pPr>
            <w:r>
              <w:rPr>
                <w:b w:val="0"/>
                <w:color w:val="000000"/>
                <w:sz w:val="18"/>
              </w:rPr>
              <w:t>Conditional. Configuration must agree with the rendered dialplan and active edge.</w:t>
            </w:r>
          </w:p>
        </w:tc>
      </w:tr>
      <w:tr>
        <w:trPr>
          <w:cantSplit/>
        </w:trPr>
        <w:tc>
          <w:tcPr>
            <w:tcW w:type="dxa" w:w="1973"/>
            <w:vAlign w:val="center"/>
            <w:tcMar>
              <w:top w:w="95" w:type="dxa"/>
              <w:bottom w:w="95" w:type="dxa"/>
              <w:left w:w="110" w:type="dxa"/>
              <w:right w:w="110" w:type="dxa"/>
            </w:tcMar>
            <w:shd w:fill="F5F7FA"/>
          </w:tcPr>
          <w:p>
            <w:pPr>
              <w:spacing w:after="0" w:line="259" w:lineRule="auto"/>
            </w:pPr>
            <w:r>
              <w:rPr>
                <w:b w:val="0"/>
                <w:color w:val="000000"/>
                <w:sz w:val="18"/>
              </w:rPr>
              <w:t>C08 AI receptionist</w:t>
            </w:r>
          </w:p>
        </w:tc>
        <w:tc>
          <w:tcPr>
            <w:tcW w:type="dxa" w:w="4248"/>
            <w:vAlign w:val="center"/>
            <w:tcMar>
              <w:top w:w="95" w:type="dxa"/>
              <w:bottom w:w="95" w:type="dxa"/>
              <w:left w:w="110" w:type="dxa"/>
              <w:right w:w="110" w:type="dxa"/>
            </w:tcMar>
            <w:shd w:fill="F5F7FA"/>
          </w:tcPr>
          <w:p>
            <w:pPr>
              <w:spacing w:after="0" w:line="259" w:lineRule="auto"/>
            </w:pPr>
            <w:r>
              <w:rPr>
                <w:b w:val="0"/>
                <w:color w:val="000000"/>
                <w:sz w:val="18"/>
              </w:rPr>
              <w:t>Tenant greeting, voice, instructions and transfer targets; speech recognition, model reply, TTS, messages and transcripts.</w:t>
            </w:r>
          </w:p>
        </w:tc>
        <w:tc>
          <w:tcPr>
            <w:tcW w:type="dxa" w:w="3614"/>
            <w:vAlign w:val="center"/>
            <w:tcMar>
              <w:top w:w="95" w:type="dxa"/>
              <w:bottom w:w="95" w:type="dxa"/>
              <w:left w:w="110" w:type="dxa"/>
              <w:right w:w="110" w:type="dxa"/>
            </w:tcMar>
            <w:shd w:fill="F5F7FA"/>
          </w:tcPr>
          <w:p>
            <w:pPr>
              <w:spacing w:after="0" w:line="259" w:lineRule="auto"/>
            </w:pPr>
            <w:r>
              <w:rPr>
                <w:b w:val="0"/>
                <w:color w:val="000000"/>
                <w:sz w:val="18"/>
              </w:rPr>
              <w:t>Conditional. Self-hosted speech path and external model service must be tested together.</w:t>
            </w:r>
          </w:p>
        </w:tc>
      </w:tr>
      <w:tr>
        <w:trPr>
          <w:cantSplit/>
        </w:trPr>
        <w:tc>
          <w:tcPr>
            <w:tcW w:type="dxa" w:w="1973"/>
            <w:vAlign w:val="center"/>
            <w:tcMar>
              <w:top w:w="95" w:type="dxa"/>
              <w:bottom w:w="95" w:type="dxa"/>
              <w:left w:w="110" w:type="dxa"/>
              <w:right w:w="110" w:type="dxa"/>
            </w:tcMar>
            <w:shd w:fill="FFFFFF"/>
          </w:tcPr>
          <w:p>
            <w:pPr>
              <w:spacing w:after="0" w:line="259" w:lineRule="auto"/>
            </w:pPr>
            <w:r>
              <w:rPr>
                <w:b w:val="0"/>
                <w:color w:val="000000"/>
                <w:sz w:val="18"/>
              </w:rPr>
              <w:t>C09 SMS and video</w:t>
            </w:r>
          </w:p>
        </w:tc>
        <w:tc>
          <w:tcPr>
            <w:tcW w:type="dxa" w:w="4248"/>
            <w:vAlign w:val="center"/>
            <w:tcMar>
              <w:top w:w="95" w:type="dxa"/>
              <w:bottom w:w="95" w:type="dxa"/>
              <w:left w:w="110" w:type="dxa"/>
              <w:right w:w="110" w:type="dxa"/>
            </w:tcMar>
            <w:shd w:fill="FFFFFF"/>
          </w:tcPr>
          <w:p>
            <w:pPr>
              <w:spacing w:after="0" w:line="259" w:lineRule="auto"/>
            </w:pPr>
            <w:r>
              <w:rPr>
                <w:b w:val="0"/>
                <w:color w:val="000000"/>
                <w:sz w:val="18"/>
              </w:rPr>
              <w:t>SMS list/send and carrier webhooks; video-room APIs and web/mobile meeting entry points.</w:t>
            </w:r>
          </w:p>
        </w:tc>
        <w:tc>
          <w:tcPr>
            <w:tcW w:type="dxa" w:w="3614"/>
            <w:vAlign w:val="center"/>
            <w:tcMar>
              <w:top w:w="95" w:type="dxa"/>
              <w:bottom w:w="95" w:type="dxa"/>
              <w:left w:w="110" w:type="dxa"/>
              <w:right w:w="110" w:type="dxa"/>
            </w:tcMar>
            <w:shd w:fill="FFFFFF"/>
          </w:tcPr>
          <w:p>
            <w:pPr>
              <w:spacing w:after="0" w:line="259" w:lineRule="auto"/>
            </w:pPr>
            <w:r>
              <w:rPr>
                <w:b w:val="0"/>
                <w:color w:val="000000"/>
                <w:sz w:val="18"/>
              </w:rPr>
              <w:t>Conditional. SMS needs an assigned capable number. Video is separate from SIP audio conferences.</w:t>
            </w:r>
          </w:p>
        </w:tc>
      </w:tr>
    </w:tbl>
    <w:p>
      <w:pPr>
        <w:spacing w:after="20"/>
      </w:pPr>
      <w:r/>
    </w:p>
    <w:p>
      <w:pPr>
        <w:pStyle w:val="Heading2"/>
      </w:pPr>
      <w:r>
        <w:t>Expected customer experience</w:t>
      </w:r>
    </w:p>
    <w:p>
      <w:r>
        <w:t>Show a colleague's name and extension rather than raw SIP addresses. Distinguish Calling, Ringing, Connecting audio and Connected. Start the visible duration at the authoritative established event, not at dial or answer-button press, and measure audio readiness separately. An unanswered call needs a clear status and, where the routing path supports it, a spoken unavailable message or return to the receptionist.</w:t>
      </w:r>
    </w:p>
    <w:p>
      <w:pPr>
        <w:pStyle w:val="Heading1"/>
        <w:pageBreakBefore/>
      </w:pPr>
      <w:r>
        <w:t>3 Existing SaaS and Commercial Features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73"/>
        <w:gridCol w:w="4248"/>
        <w:gridCol w:w="3614"/>
      </w:tblGrid>
      <w:tr>
        <w:trPr>
          <w:cantSplit/>
          <w:tblHeader/>
        </w:trPr>
        <w:tc>
          <w:tcPr>
            <w:tcW w:type="dxa" w:w="1973"/>
            <w:vAlign w:val="center"/>
            <w:tcMar>
              <w:top w:w="95" w:type="dxa"/>
              <w:bottom w:w="95" w:type="dxa"/>
              <w:left w:w="110" w:type="dxa"/>
              <w:right w:w="110" w:type="dxa"/>
            </w:tcMar>
            <w:shd w:fill="DCEAF5"/>
          </w:tcPr>
          <w:p>
            <w:pPr>
              <w:spacing w:after="0" w:line="259" w:lineRule="auto"/>
            </w:pPr>
            <w:r>
              <w:rPr>
                <w:b/>
                <w:color w:val="000000"/>
                <w:sz w:val="19"/>
              </w:rPr>
              <w:t>Capability</w:t>
            </w:r>
          </w:p>
        </w:tc>
        <w:tc>
          <w:tcPr>
            <w:tcW w:type="dxa" w:w="4248"/>
            <w:vAlign w:val="center"/>
            <w:tcMar>
              <w:top w:w="95" w:type="dxa"/>
              <w:bottom w:w="95" w:type="dxa"/>
              <w:left w:w="110" w:type="dxa"/>
              <w:right w:w="110" w:type="dxa"/>
            </w:tcMar>
            <w:shd w:fill="DCEAF5"/>
          </w:tcPr>
          <w:p>
            <w:pPr>
              <w:spacing w:after="0" w:line="259" w:lineRule="auto"/>
            </w:pPr>
            <w:r>
              <w:rPr>
                <w:b/>
                <w:color w:val="000000"/>
                <w:sz w:val="19"/>
              </w:rPr>
              <w:t>Existing implementation</w:t>
            </w:r>
          </w:p>
        </w:tc>
        <w:tc>
          <w:tcPr>
            <w:tcW w:type="dxa" w:w="3614"/>
            <w:vAlign w:val="center"/>
            <w:tcMar>
              <w:top w:w="95" w:type="dxa"/>
              <w:bottom w:w="95" w:type="dxa"/>
              <w:left w:w="110" w:type="dxa"/>
              <w:right w:w="110" w:type="dxa"/>
            </w:tcMar>
            <w:shd w:fill="DCEAF5"/>
          </w:tcPr>
          <w:p>
            <w:pPr>
              <w:spacing w:after="0" w:line="259" w:lineRule="auto"/>
            </w:pPr>
            <w:r>
              <w:rPr>
                <w:b/>
                <w:color w:val="000000"/>
                <w:sz w:val="19"/>
              </w:rPr>
              <w:t>Review focus</w:t>
            </w:r>
          </w:p>
        </w:tc>
      </w:tr>
      <w:tr>
        <w:trPr>
          <w:cantSplit/>
        </w:trPr>
        <w:tc>
          <w:tcPr>
            <w:tcW w:type="dxa" w:w="1973"/>
            <w:vAlign w:val="center"/>
            <w:tcMar>
              <w:top w:w="95" w:type="dxa"/>
              <w:bottom w:w="95" w:type="dxa"/>
              <w:left w:w="110" w:type="dxa"/>
              <w:right w:w="110" w:type="dxa"/>
            </w:tcMar>
            <w:shd w:fill="FFFFFF"/>
          </w:tcPr>
          <w:p>
            <w:pPr>
              <w:spacing w:after="0" w:line="259" w:lineRule="auto"/>
            </w:pPr>
            <w:r>
              <w:rPr>
                <w:b w:val="0"/>
                <w:color w:val="000000"/>
                <w:sz w:val="19"/>
              </w:rPr>
              <w:t>Authentication and profile</w:t>
            </w:r>
          </w:p>
        </w:tc>
        <w:tc>
          <w:tcPr>
            <w:tcW w:type="dxa" w:w="4248"/>
            <w:vAlign w:val="center"/>
            <w:tcMar>
              <w:top w:w="95" w:type="dxa"/>
              <w:bottom w:w="95" w:type="dxa"/>
              <w:left w:w="110" w:type="dxa"/>
              <w:right w:w="110" w:type="dxa"/>
            </w:tcMar>
            <w:shd w:fill="FFFFFF"/>
          </w:tcPr>
          <w:p>
            <w:pPr>
              <w:spacing w:after="0" w:line="259" w:lineRule="auto"/>
            </w:pPr>
            <w:r>
              <w:rPr>
                <w:b w:val="0"/>
                <w:color w:val="000000"/>
                <w:sz w:val="19"/>
              </w:rPr>
              <w:t>Web/mobile sign-in, session validation, enrollment, profile updates and password/security routes.</w:t>
            </w:r>
          </w:p>
        </w:tc>
        <w:tc>
          <w:tcPr>
            <w:tcW w:type="dxa" w:w="3614"/>
            <w:vAlign w:val="center"/>
            <w:tcMar>
              <w:top w:w="95" w:type="dxa"/>
              <w:bottom w:w="95" w:type="dxa"/>
              <w:left w:w="110" w:type="dxa"/>
              <w:right w:w="110" w:type="dxa"/>
            </w:tcMar>
            <w:shd w:fill="FFFFFF"/>
          </w:tcPr>
          <w:p>
            <w:pPr>
              <w:spacing w:after="0" w:line="259" w:lineRule="auto"/>
            </w:pPr>
            <w:r>
              <w:rPr>
                <w:b w:val="0"/>
                <w:color w:val="000000"/>
                <w:sz w:val="19"/>
              </w:rPr>
              <w:t>Role binding, revocation, throttling, secure storage and logout of native calling.</w:t>
            </w:r>
          </w:p>
        </w:tc>
      </w:tr>
      <w:tr>
        <w:trPr>
          <w:cantSplit/>
        </w:trPr>
        <w:tc>
          <w:tcPr>
            <w:tcW w:type="dxa" w:w="1973"/>
            <w:vAlign w:val="center"/>
            <w:tcMar>
              <w:top w:w="95" w:type="dxa"/>
              <w:bottom w:w="95" w:type="dxa"/>
              <w:left w:w="110" w:type="dxa"/>
              <w:right w:w="110" w:type="dxa"/>
            </w:tcMar>
            <w:shd w:fill="F5F7FA"/>
          </w:tcPr>
          <w:p>
            <w:pPr>
              <w:spacing w:after="0" w:line="259" w:lineRule="auto"/>
            </w:pPr>
            <w:r>
              <w:rPr>
                <w:b w:val="0"/>
                <w:color w:val="000000"/>
                <w:sz w:val="19"/>
              </w:rPr>
              <w:t>Customer management</w:t>
            </w:r>
          </w:p>
        </w:tc>
        <w:tc>
          <w:tcPr>
            <w:tcW w:type="dxa" w:w="4248"/>
            <w:vAlign w:val="center"/>
            <w:tcMar>
              <w:top w:w="95" w:type="dxa"/>
              <w:bottom w:w="95" w:type="dxa"/>
              <w:left w:w="110" w:type="dxa"/>
              <w:right w:w="110" w:type="dxa"/>
            </w:tcMar>
            <w:shd w:fill="F5F7FA"/>
          </w:tcPr>
          <w:p>
            <w:pPr>
              <w:spacing w:after="0" w:line="259" w:lineRule="auto"/>
            </w:pPr>
            <w:r>
              <w:rPr>
                <w:b w:val="0"/>
                <w:color w:val="000000"/>
                <w:sz w:val="19"/>
              </w:rPr>
              <w:t>Platform customer pages; business/individual account types; users, departments, extensions and tenant-admin accounts.</w:t>
            </w:r>
          </w:p>
        </w:tc>
        <w:tc>
          <w:tcPr>
            <w:tcW w:type="dxa" w:w="3614"/>
            <w:vAlign w:val="center"/>
            <w:tcMar>
              <w:top w:w="95" w:type="dxa"/>
              <w:bottom w:w="95" w:type="dxa"/>
              <w:left w:w="110" w:type="dxa"/>
              <w:right w:w="110" w:type="dxa"/>
            </w:tcMar>
            <w:shd w:fill="F5F7FA"/>
          </w:tcPr>
          <w:p>
            <w:pPr>
              <w:spacing w:after="0" w:line="259" w:lineRule="auto"/>
            </w:pPr>
            <w:r>
              <w:rPr>
                <w:b w:val="0"/>
                <w:color w:val="000000"/>
                <w:sz w:val="19"/>
              </w:rPr>
              <w:t>No cross-tenant reads, writes or privileged identity inheritance.</w:t>
            </w:r>
          </w:p>
        </w:tc>
      </w:tr>
      <w:tr>
        <w:trPr>
          <w:cantSplit/>
        </w:trPr>
        <w:tc>
          <w:tcPr>
            <w:tcW w:type="dxa" w:w="1973"/>
            <w:vAlign w:val="center"/>
            <w:tcMar>
              <w:top w:w="95" w:type="dxa"/>
              <w:bottom w:w="95" w:type="dxa"/>
              <w:left w:w="110" w:type="dxa"/>
              <w:right w:w="110" w:type="dxa"/>
            </w:tcMar>
            <w:shd w:fill="FFFFFF"/>
          </w:tcPr>
          <w:p>
            <w:pPr>
              <w:spacing w:after="0" w:line="259" w:lineRule="auto"/>
            </w:pPr>
            <w:r>
              <w:rPr>
                <w:b w:val="0"/>
                <w:color w:val="000000"/>
                <w:sz w:val="19"/>
              </w:rPr>
              <w:t>Subscriptions and access</w:t>
            </w:r>
          </w:p>
        </w:tc>
        <w:tc>
          <w:tcPr>
            <w:tcW w:type="dxa" w:w="4248"/>
            <w:vAlign w:val="center"/>
            <w:tcMar>
              <w:top w:w="95" w:type="dxa"/>
              <w:bottom w:w="95" w:type="dxa"/>
              <w:left w:w="110" w:type="dxa"/>
              <w:right w:w="110" w:type="dxa"/>
            </w:tcMar>
            <w:shd w:fill="FFFFFF"/>
          </w:tcPr>
          <w:p>
            <w:pPr>
              <w:spacing w:after="0" w:line="259" w:lineRule="auto"/>
            </w:pPr>
            <w:r>
              <w:rPr>
                <w:b w:val="0"/>
                <w:color w:val="000000"/>
                <w:sz w:val="19"/>
              </w:rPr>
              <w:t>Plan catalog, subscription states, seat/number/concurrency/storage limits and feature overrides.</w:t>
            </w:r>
          </w:p>
        </w:tc>
        <w:tc>
          <w:tcPr>
            <w:tcW w:type="dxa" w:w="3614"/>
            <w:vAlign w:val="center"/>
            <w:tcMar>
              <w:top w:w="95" w:type="dxa"/>
              <w:bottom w:w="95" w:type="dxa"/>
              <w:left w:w="110" w:type="dxa"/>
              <w:right w:w="110" w:type="dxa"/>
            </w:tcMar>
            <w:shd w:fill="FFFFFF"/>
          </w:tcPr>
          <w:p>
            <w:pPr>
              <w:spacing w:after="0" w:line="259" w:lineRule="auto"/>
            </w:pPr>
            <w:r>
              <w:rPr>
                <w:b w:val="0"/>
                <w:color w:val="000000"/>
                <w:sz w:val="19"/>
              </w:rPr>
              <w:t>Enforce approved limits server-side. Seed prices are not approved commercial terms.</w:t>
            </w:r>
          </w:p>
        </w:tc>
      </w:tr>
      <w:tr>
        <w:trPr>
          <w:cantSplit/>
        </w:trPr>
        <w:tc>
          <w:tcPr>
            <w:tcW w:type="dxa" w:w="1973"/>
            <w:vAlign w:val="center"/>
            <w:tcMar>
              <w:top w:w="95" w:type="dxa"/>
              <w:bottom w:w="95" w:type="dxa"/>
              <w:left w:w="110" w:type="dxa"/>
              <w:right w:w="110" w:type="dxa"/>
            </w:tcMar>
            <w:shd w:fill="F5F7FA"/>
          </w:tcPr>
          <w:p>
            <w:pPr>
              <w:spacing w:after="0" w:line="259" w:lineRule="auto"/>
            </w:pPr>
            <w:r>
              <w:rPr>
                <w:b w:val="0"/>
                <w:color w:val="000000"/>
                <w:sz w:val="19"/>
              </w:rPr>
              <w:t>Wallet and pricing</w:t>
            </w:r>
          </w:p>
        </w:tc>
        <w:tc>
          <w:tcPr>
            <w:tcW w:type="dxa" w:w="4248"/>
            <w:vAlign w:val="center"/>
            <w:tcMar>
              <w:top w:w="95" w:type="dxa"/>
              <w:bottom w:w="95" w:type="dxa"/>
              <w:left w:w="110" w:type="dxa"/>
              <w:right w:w="110" w:type="dxa"/>
            </w:tcMar>
            <w:shd w:fill="F5F7FA"/>
          </w:tcPr>
          <w:p>
            <w:pPr>
              <w:spacing w:after="0" w:line="259" w:lineRule="auto"/>
            </w:pPr>
            <w:r>
              <w:rPr>
                <w:b w:val="0"/>
                <w:color w:val="000000"/>
                <w:sz w:val="19"/>
              </w:rPr>
              <w:t>Tenant balances/ledgers, adjustment references and idempotency; top-up packages, retail pricing rules and wallet controls.</w:t>
            </w:r>
          </w:p>
        </w:tc>
        <w:tc>
          <w:tcPr>
            <w:tcW w:type="dxa" w:w="3614"/>
            <w:vAlign w:val="center"/>
            <w:tcMar>
              <w:top w:w="95" w:type="dxa"/>
              <w:bottom w:w="95" w:type="dxa"/>
              <w:left w:w="110" w:type="dxa"/>
              <w:right w:w="110" w:type="dxa"/>
            </w:tcMar>
            <w:shd w:fill="F5F7FA"/>
          </w:tcPr>
          <w:p>
            <w:pPr>
              <w:spacing w:after="0" w:line="259" w:lineRule="auto"/>
            </w:pPr>
            <w:r>
              <w:rPr>
                <w:b w:val="0"/>
                <w:color w:val="000000"/>
                <w:sz w:val="19"/>
              </w:rPr>
              <w:t>Separate carrier costs from customer charges; reconcile usage and protect concurrent writes.</w:t>
            </w:r>
          </w:p>
        </w:tc>
      </w:tr>
      <w:tr>
        <w:trPr>
          <w:cantSplit/>
        </w:trPr>
        <w:tc>
          <w:tcPr>
            <w:tcW w:type="dxa" w:w="1973"/>
            <w:vAlign w:val="center"/>
            <w:tcMar>
              <w:top w:w="95" w:type="dxa"/>
              <w:bottom w:w="95" w:type="dxa"/>
              <w:left w:w="110" w:type="dxa"/>
              <w:right w:w="110" w:type="dxa"/>
            </w:tcMar>
            <w:shd w:fill="FFFFFF"/>
          </w:tcPr>
          <w:p>
            <w:pPr>
              <w:spacing w:after="0" w:line="259" w:lineRule="auto"/>
            </w:pPr>
            <w:r>
              <w:rPr>
                <w:b w:val="0"/>
                <w:color w:val="000000"/>
                <w:sz w:val="19"/>
              </w:rPr>
              <w:t>Numbers and connectivity</w:t>
            </w:r>
          </w:p>
        </w:tc>
        <w:tc>
          <w:tcPr>
            <w:tcW w:type="dxa" w:w="4248"/>
            <w:vAlign w:val="center"/>
            <w:tcMar>
              <w:top w:w="95" w:type="dxa"/>
              <w:bottom w:w="95" w:type="dxa"/>
              <w:left w:w="110" w:type="dxa"/>
              <w:right w:w="110" w:type="dxa"/>
            </w:tcMar>
            <w:shd w:fill="FFFFFF"/>
          </w:tcPr>
          <w:p>
            <w:pPr>
              <w:spacing w:after="0" w:line="259" w:lineRule="auto"/>
            </w:pPr>
            <w:r>
              <w:rPr>
                <w:b w:val="0"/>
                <w:color w:val="000000"/>
                <w:sz w:val="19"/>
              </w:rPr>
              <w:t>Phone-number and verified caller-ID APIs, tenant assignments, trunk configuration and outbound policies.</w:t>
            </w:r>
          </w:p>
        </w:tc>
        <w:tc>
          <w:tcPr>
            <w:tcW w:type="dxa" w:w="3614"/>
            <w:vAlign w:val="center"/>
            <w:tcMar>
              <w:top w:w="95" w:type="dxa"/>
              <w:bottom w:w="95" w:type="dxa"/>
              <w:left w:w="110" w:type="dxa"/>
              <w:right w:w="110" w:type="dxa"/>
            </w:tcMar>
            <w:shd w:fill="FFFFFF"/>
          </w:tcPr>
          <w:p>
            <w:pPr>
              <w:spacing w:after="0" w:line="259" w:lineRule="auto"/>
            </w:pPr>
            <w:r>
              <w:rPr>
                <w:b w:val="0"/>
                <w:color w:val="000000"/>
                <w:sz w:val="19"/>
              </w:rPr>
              <w:t>Ownership, authorization, number capabilities, secret handling and route selection.</w:t>
            </w:r>
          </w:p>
        </w:tc>
      </w:tr>
      <w:tr>
        <w:trPr>
          <w:cantSplit/>
        </w:trPr>
        <w:tc>
          <w:tcPr>
            <w:tcW w:type="dxa" w:w="1973"/>
            <w:vAlign w:val="center"/>
            <w:tcMar>
              <w:top w:w="95" w:type="dxa"/>
              <w:bottom w:w="95" w:type="dxa"/>
              <w:left w:w="110" w:type="dxa"/>
              <w:right w:w="110" w:type="dxa"/>
            </w:tcMar>
            <w:shd w:fill="F5F7FA"/>
          </w:tcPr>
          <w:p>
            <w:pPr>
              <w:spacing w:after="0" w:line="259" w:lineRule="auto"/>
            </w:pPr>
            <w:r>
              <w:rPr>
                <w:b w:val="0"/>
                <w:color w:val="000000"/>
                <w:sz w:val="19"/>
              </w:rPr>
              <w:t>Reports and platform tools</w:t>
            </w:r>
          </w:p>
        </w:tc>
        <w:tc>
          <w:tcPr>
            <w:tcW w:type="dxa" w:w="4248"/>
            <w:vAlign w:val="center"/>
            <w:tcMar>
              <w:top w:w="95" w:type="dxa"/>
              <w:bottom w:w="95" w:type="dxa"/>
              <w:left w:w="110" w:type="dxa"/>
              <w:right w:w="110" w:type="dxa"/>
            </w:tcMar>
            <w:shd w:fill="F5F7FA"/>
          </w:tcPr>
          <w:p>
            <w:pPr>
              <w:spacing w:after="0" w:line="259" w:lineRule="auto"/>
            </w:pPr>
            <w:r>
              <w:rPr>
                <w:b w:val="0"/>
                <w:color w:val="000000"/>
                <w:sz w:val="19"/>
              </w:rPr>
              <w:t>Company reports/events; platform overview; scoped API-key management and delivery diagnostics.</w:t>
            </w:r>
          </w:p>
        </w:tc>
        <w:tc>
          <w:tcPr>
            <w:tcW w:type="dxa" w:w="3614"/>
            <w:vAlign w:val="center"/>
            <w:tcMar>
              <w:top w:w="95" w:type="dxa"/>
              <w:bottom w:w="95" w:type="dxa"/>
              <w:left w:w="110" w:type="dxa"/>
              <w:right w:w="110" w:type="dxa"/>
            </w:tcMar>
            <w:shd w:fill="F5F7FA"/>
          </w:tcPr>
          <w:p>
            <w:pPr>
              <w:spacing w:after="0" w:line="259" w:lineRule="auto"/>
            </w:pPr>
            <w:r>
              <w:rPr>
                <w:b w:val="0"/>
                <w:color w:val="000000"/>
                <w:sz w:val="19"/>
              </w:rPr>
              <w:t>Tenant filtering, scope enforcement, redaction and actionable monitoring.</w:t>
            </w:r>
          </w:p>
        </w:tc>
      </w:tr>
      <w:tr>
        <w:trPr>
          <w:cantSplit/>
        </w:trPr>
        <w:tc>
          <w:tcPr>
            <w:tcW w:type="dxa" w:w="1973"/>
            <w:vAlign w:val="center"/>
            <w:tcMar>
              <w:top w:w="95" w:type="dxa"/>
              <w:bottom w:w="95" w:type="dxa"/>
              <w:left w:w="110" w:type="dxa"/>
              <w:right w:w="110" w:type="dxa"/>
            </w:tcMar>
            <w:shd w:fill="FFFFFF"/>
          </w:tcPr>
          <w:p>
            <w:pPr>
              <w:spacing w:after="0" w:line="259" w:lineRule="auto"/>
            </w:pPr>
            <w:r>
              <w:rPr>
                <w:b w:val="0"/>
                <w:color w:val="000000"/>
                <w:sz w:val="19"/>
              </w:rPr>
              <w:t>User applications</w:t>
            </w:r>
          </w:p>
        </w:tc>
        <w:tc>
          <w:tcPr>
            <w:tcW w:type="dxa" w:w="4248"/>
            <w:vAlign w:val="center"/>
            <w:tcMar>
              <w:top w:w="95" w:type="dxa"/>
              <w:bottom w:w="95" w:type="dxa"/>
              <w:left w:w="110" w:type="dxa"/>
              <w:right w:w="110" w:type="dxa"/>
            </w:tcMar>
            <w:shd w:fill="FFFFFF"/>
          </w:tcPr>
          <w:p>
            <w:pPr>
              <w:spacing w:after="0" w:line="259" w:lineRule="auto"/>
            </w:pPr>
            <w:r>
              <w:rPr>
                <w:b w:val="0"/>
                <w:color w:val="000000"/>
                <w:sz w:val="19"/>
              </w:rPr>
              <w:t>Mobile home, personal/business selection, contacts, messaging, recent calls, settings, ringtone previews and wallet view.</w:t>
            </w:r>
          </w:p>
        </w:tc>
        <w:tc>
          <w:tcPr>
            <w:tcW w:type="dxa" w:w="3614"/>
            <w:vAlign w:val="center"/>
            <w:tcMar>
              <w:top w:w="95" w:type="dxa"/>
              <w:bottom w:w="95" w:type="dxa"/>
              <w:left w:w="110" w:type="dxa"/>
              <w:right w:w="110" w:type="dxa"/>
            </w:tcMar>
            <w:shd w:fill="FFFFFF"/>
          </w:tcPr>
          <w:p>
            <w:pPr>
              <w:spacing w:after="0" w:line="259" w:lineRule="auto"/>
            </w:pPr>
            <w:r>
              <w:rPr>
                <w:b w:val="0"/>
                <w:color w:val="000000"/>
                <w:sz w:val="19"/>
              </w:rPr>
              <w:t>Responsiveness, permission handling, persistence and platform parity.</w:t>
            </w:r>
          </w:p>
        </w:tc>
      </w:tr>
      <w:tr>
        <w:trPr>
          <w:cantSplit/>
        </w:trPr>
        <w:tc>
          <w:tcPr>
            <w:tcW w:type="dxa" w:w="1973"/>
            <w:vAlign w:val="center"/>
            <w:tcMar>
              <w:top w:w="95" w:type="dxa"/>
              <w:bottom w:w="95" w:type="dxa"/>
              <w:left w:w="110" w:type="dxa"/>
              <w:right w:w="110" w:type="dxa"/>
            </w:tcMar>
            <w:shd w:fill="F5F7FA"/>
          </w:tcPr>
          <w:p>
            <w:pPr>
              <w:spacing w:after="0" w:line="259" w:lineRule="auto"/>
            </w:pPr>
            <w:r>
              <w:rPr>
                <w:b w:val="0"/>
                <w:color w:val="000000"/>
                <w:sz w:val="19"/>
              </w:rPr>
              <w:t>Product website</w:t>
            </w:r>
          </w:p>
        </w:tc>
        <w:tc>
          <w:tcPr>
            <w:tcW w:type="dxa" w:w="4248"/>
            <w:vAlign w:val="center"/>
            <w:tcMar>
              <w:top w:w="95" w:type="dxa"/>
              <w:bottom w:w="95" w:type="dxa"/>
              <w:left w:w="110" w:type="dxa"/>
              <w:right w:w="110" w:type="dxa"/>
            </w:tcMar>
            <w:shd w:fill="F5F7FA"/>
          </w:tcPr>
          <w:p>
            <w:pPr>
              <w:spacing w:after="0" w:line="259" w:lineRule="auto"/>
            </w:pPr>
            <w:r>
              <w:rPr>
                <w:b w:val="0"/>
                <w:color w:val="000000"/>
                <w:sz w:val="19"/>
              </w:rPr>
              <w:t>Separate marketing, pricing, product information and enrollment entry points.</w:t>
            </w:r>
          </w:p>
        </w:tc>
        <w:tc>
          <w:tcPr>
            <w:tcW w:type="dxa" w:w="3614"/>
            <w:vAlign w:val="center"/>
            <w:tcMar>
              <w:top w:w="95" w:type="dxa"/>
              <w:bottom w:w="95" w:type="dxa"/>
              <w:left w:w="110" w:type="dxa"/>
              <w:right w:w="110" w:type="dxa"/>
            </w:tcMar>
            <w:shd w:fill="F5F7FA"/>
          </w:tcPr>
          <w:p>
            <w:pPr>
              <w:spacing w:after="0" w:line="259" w:lineRule="auto"/>
            </w:pPr>
            <w:r>
              <w:rPr>
                <w:b w:val="0"/>
                <w:color w:val="000000"/>
                <w:sz w:val="19"/>
              </w:rPr>
              <w:t>Claims and plan availability must match capabilities that are actually enabled.</w:t>
            </w:r>
          </w:p>
        </w:tc>
      </w:tr>
    </w:tbl>
    <w:p>
      <w:pPr>
        <w:spacing w:after="20"/>
      </w:pPr>
      <w:r/>
    </w:p>
    <w:p>
      <w:pPr>
        <w:pStyle w:val="Heading2"/>
      </w:pPr>
      <w:r>
        <w:t>Important completion boundaries</w:t>
      </w:r>
    </w:p>
    <w:p>
      <w:pPr>
        <w:pStyle w:val="ListBullet"/>
        <w:spacing w:after="100"/>
      </w:pPr>
      <w:r>
        <w:t>Online top-up checkout is not complete. The web wallet directs customers to billing support, and stored auto-recharge preferences explicitly do not collect payments until a payment provider is connected.</w:t>
      </w:r>
    </w:p>
    <w:p>
      <w:pPr>
        <w:pStyle w:val="ListBullet"/>
        <w:spacing w:after="100"/>
      </w:pPr>
      <w:r>
        <w:t>Travel eSIM is currently an informational mobile settings surface. It is not evidence of a working country-plan catalog, purchase API or activation-code provisioning service.</w:t>
      </w:r>
    </w:p>
    <w:p>
      <w:pPr>
        <w:pStyle w:val="ListBullet"/>
        <w:spacing w:after="100"/>
      </w:pPr>
      <w:r>
        <w:t>A feature flag or user setting is not proof of an end-to-end implementation. Recording, transcription, video, conference and custom-branding behavior must be checked on the active engine.</w:t>
      </w:r>
    </w:p>
    <w:p>
      <w:pPr>
        <w:pStyle w:val="ListBullet"/>
        <w:spacing w:after="100"/>
      </w:pPr>
      <w:r>
        <w:t>The feature catalog includes internal/external calling, SMS, numbers, SIP trunks, AI, video, recording, voicemail, queues, IVR, analytics, developer API and branding. Entitlements and runtime capability checks both matter.</w:t>
      </w:r>
    </w:p>
    <w:p>
      <w:pPr>
        <w:pStyle w:val="Heading1"/>
        <w:pageBreakBefore/>
      </w:pPr>
      <w:r>
        <w:t>4 Technical Architecture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13"/>
        <w:gridCol w:w="4061"/>
        <w:gridCol w:w="4162"/>
      </w:tblGrid>
      <w:tr>
        <w:trPr>
          <w:cantSplit/>
          <w:tblHeader/>
        </w:trPr>
        <w:tc>
          <w:tcPr>
            <w:tcW w:type="dxa" w:w="1613"/>
            <w:vAlign w:val="center"/>
            <w:tcMar>
              <w:top w:w="95" w:type="dxa"/>
              <w:bottom w:w="95" w:type="dxa"/>
              <w:left w:w="110" w:type="dxa"/>
              <w:right w:w="110" w:type="dxa"/>
            </w:tcMar>
            <w:shd w:fill="DCEAF5"/>
          </w:tcPr>
          <w:p>
            <w:pPr>
              <w:spacing w:after="0" w:line="259" w:lineRule="auto"/>
            </w:pPr>
            <w:r>
              <w:rPr>
                <w:b/>
                <w:color w:val="000000"/>
                <w:sz w:val="19"/>
              </w:rPr>
              <w:t>Layer</w:t>
            </w:r>
          </w:p>
        </w:tc>
        <w:tc>
          <w:tcPr>
            <w:tcW w:type="dxa" w:w="4061"/>
            <w:vAlign w:val="center"/>
            <w:tcMar>
              <w:top w:w="95" w:type="dxa"/>
              <w:bottom w:w="95" w:type="dxa"/>
              <w:left w:w="110" w:type="dxa"/>
              <w:right w:w="110" w:type="dxa"/>
            </w:tcMar>
            <w:shd w:fill="DCEAF5"/>
          </w:tcPr>
          <w:p>
            <w:pPr>
              <w:spacing w:after="0" w:line="259" w:lineRule="auto"/>
            </w:pPr>
            <w:r>
              <w:rPr>
                <w:b/>
                <w:color w:val="000000"/>
                <w:sz w:val="19"/>
              </w:rPr>
              <w:t>Languages and framework</w:t>
            </w:r>
          </w:p>
        </w:tc>
        <w:tc>
          <w:tcPr>
            <w:tcW w:type="dxa" w:w="4162"/>
            <w:vAlign w:val="center"/>
            <w:tcMar>
              <w:top w:w="95" w:type="dxa"/>
              <w:bottom w:w="95" w:type="dxa"/>
              <w:left w:w="110" w:type="dxa"/>
              <w:right w:w="110" w:type="dxa"/>
            </w:tcMar>
            <w:shd w:fill="DCEAF5"/>
          </w:tcPr>
          <w:p>
            <w:pPr>
              <w:spacing w:after="0" w:line="259" w:lineRule="auto"/>
            </w:pPr>
            <w:r>
              <w:rPr>
                <w:b/>
                <w:color w:val="000000"/>
                <w:sz w:val="19"/>
              </w:rPr>
              <w:t>Responsibility</w:t>
            </w:r>
          </w:p>
        </w:tc>
      </w:tr>
      <w:tr>
        <w:trPr>
          <w:cantSplit/>
        </w:trPr>
        <w:tc>
          <w:tcPr>
            <w:tcW w:type="dxa" w:w="1613"/>
            <w:vAlign w:val="center"/>
            <w:tcMar>
              <w:top w:w="95" w:type="dxa"/>
              <w:bottom w:w="95" w:type="dxa"/>
              <w:left w:w="110" w:type="dxa"/>
              <w:right w:w="110" w:type="dxa"/>
            </w:tcMar>
            <w:shd w:fill="FFFFFF"/>
          </w:tcPr>
          <w:p>
            <w:pPr>
              <w:spacing w:after="0" w:line="259" w:lineRule="auto"/>
            </w:pPr>
            <w:r>
              <w:rPr>
                <w:b w:val="0"/>
                <w:color w:val="000000"/>
                <w:sz w:val="19"/>
              </w:rPr>
              <w:t>Web and admin</w:t>
            </w:r>
          </w:p>
        </w:tc>
        <w:tc>
          <w:tcPr>
            <w:tcW w:type="dxa" w:w="4061"/>
            <w:vAlign w:val="center"/>
            <w:tcMar>
              <w:top w:w="95" w:type="dxa"/>
              <w:bottom w:w="95" w:type="dxa"/>
              <w:left w:w="110" w:type="dxa"/>
              <w:right w:w="110" w:type="dxa"/>
            </w:tcMar>
            <w:shd w:fill="FFFFFF"/>
          </w:tcPr>
          <w:p>
            <w:pPr>
              <w:spacing w:after="0" w:line="259" w:lineRule="auto"/>
            </w:pPr>
            <w:r>
              <w:rPr>
                <w:b w:val="0"/>
                <w:color w:val="000000"/>
                <w:sz w:val="19"/>
              </w:rPr>
              <w:t>JavaScript/JSX; React 18; Vite 5; CSS; PWA service worker.</w:t>
            </w:r>
          </w:p>
        </w:tc>
        <w:tc>
          <w:tcPr>
            <w:tcW w:type="dxa" w:w="4162"/>
            <w:vAlign w:val="center"/>
            <w:tcMar>
              <w:top w:w="95" w:type="dxa"/>
              <w:bottom w:w="95" w:type="dxa"/>
              <w:left w:w="110" w:type="dxa"/>
              <w:right w:w="110" w:type="dxa"/>
            </w:tcMar>
            <w:shd w:fill="FFFFFF"/>
          </w:tcPr>
          <w:p>
            <w:pPr>
              <w:spacing w:after="0" w:line="259" w:lineRule="auto"/>
            </w:pPr>
            <w:r>
              <w:rPr>
                <w:b w:val="0"/>
                <w:color w:val="000000"/>
                <w:sz w:val="19"/>
              </w:rPr>
              <w:t>Customer phone, administration, marketing and browser media/UI.</w:t>
            </w:r>
          </w:p>
        </w:tc>
      </w:tr>
      <w:tr>
        <w:trPr>
          <w:cantSplit/>
        </w:trPr>
        <w:tc>
          <w:tcPr>
            <w:tcW w:type="dxa" w:w="1613"/>
            <w:vAlign w:val="center"/>
            <w:tcMar>
              <w:top w:w="95" w:type="dxa"/>
              <w:bottom w:w="95" w:type="dxa"/>
              <w:left w:w="110" w:type="dxa"/>
              <w:right w:w="110" w:type="dxa"/>
            </w:tcMar>
            <w:shd w:fill="F5F7FA"/>
          </w:tcPr>
          <w:p>
            <w:pPr>
              <w:spacing w:after="0" w:line="259" w:lineRule="auto"/>
            </w:pPr>
            <w:r>
              <w:rPr>
                <w:b w:val="0"/>
                <w:color w:val="000000"/>
                <w:sz w:val="19"/>
              </w:rPr>
              <w:t>HTTP APIs</w:t>
            </w:r>
          </w:p>
        </w:tc>
        <w:tc>
          <w:tcPr>
            <w:tcW w:type="dxa" w:w="4061"/>
            <w:vAlign w:val="center"/>
            <w:tcMar>
              <w:top w:w="95" w:type="dxa"/>
              <w:bottom w:w="95" w:type="dxa"/>
              <w:left w:w="110" w:type="dxa"/>
              <w:right w:w="110" w:type="dxa"/>
            </w:tcMar>
            <w:shd w:fill="F5F7FA"/>
          </w:tcPr>
          <w:p>
            <w:pPr>
              <w:spacing w:after="0" w:line="259" w:lineRule="auto"/>
            </w:pPr>
            <w:r>
              <w:rPr>
                <w:b w:val="0"/>
                <w:color w:val="000000"/>
                <w:sz w:val="19"/>
              </w:rPr>
              <w:t>TypeScript; Node.js 22; Vercel Functions; jose; bcryptjs.</w:t>
            </w:r>
          </w:p>
        </w:tc>
        <w:tc>
          <w:tcPr>
            <w:tcW w:type="dxa" w:w="4162"/>
            <w:vAlign w:val="center"/>
            <w:tcMar>
              <w:top w:w="95" w:type="dxa"/>
              <w:bottom w:w="95" w:type="dxa"/>
              <w:left w:w="110" w:type="dxa"/>
              <w:right w:w="110" w:type="dxa"/>
            </w:tcMar>
            <w:shd w:fill="F5F7FA"/>
          </w:tcPr>
          <w:p>
            <w:pPr>
              <w:spacing w:after="0" w:line="259" w:lineRule="auto"/>
            </w:pPr>
            <w:r>
              <w:rPr>
                <w:b w:val="0"/>
                <w:color w:val="000000"/>
                <w:sz w:val="19"/>
              </w:rPr>
              <w:t>Sessions, tenant access, routes, configuration, billing, webhooks and push endpoints.</w:t>
            </w:r>
          </w:p>
        </w:tc>
      </w:tr>
      <w:tr>
        <w:trPr>
          <w:cantSplit/>
        </w:trPr>
        <w:tc>
          <w:tcPr>
            <w:tcW w:type="dxa" w:w="1613"/>
            <w:vAlign w:val="center"/>
            <w:tcMar>
              <w:top w:w="95" w:type="dxa"/>
              <w:bottom w:w="95" w:type="dxa"/>
              <w:left w:w="110" w:type="dxa"/>
              <w:right w:w="110" w:type="dxa"/>
            </w:tcMar>
            <w:shd w:fill="FFFFFF"/>
          </w:tcPr>
          <w:p>
            <w:pPr>
              <w:spacing w:after="0" w:line="259" w:lineRule="auto"/>
            </w:pPr>
            <w:r>
              <w:rPr>
                <w:b w:val="0"/>
                <w:color w:val="000000"/>
                <w:sz w:val="19"/>
              </w:rPr>
              <w:t>Mobile</w:t>
            </w:r>
          </w:p>
        </w:tc>
        <w:tc>
          <w:tcPr>
            <w:tcW w:type="dxa" w:w="4061"/>
            <w:vAlign w:val="center"/>
            <w:tcMar>
              <w:top w:w="95" w:type="dxa"/>
              <w:bottom w:w="95" w:type="dxa"/>
              <w:left w:w="110" w:type="dxa"/>
              <w:right w:w="110" w:type="dxa"/>
            </w:tcMar>
            <w:shd w:fill="FFFFFF"/>
          </w:tcPr>
          <w:p>
            <w:pPr>
              <w:spacing w:after="0" w:line="259" w:lineRule="auto"/>
            </w:pPr>
            <w:r>
              <w:rPr>
                <w:b w:val="0"/>
                <w:color w:val="000000"/>
                <w:sz w:val="19"/>
              </w:rPr>
              <w:t>TypeScript/TSX; React Native 0.81; Expo SDK 54; SIP.js; react-native-webrtc.</w:t>
            </w:r>
          </w:p>
        </w:tc>
        <w:tc>
          <w:tcPr>
            <w:tcW w:type="dxa" w:w="4162"/>
            <w:vAlign w:val="center"/>
            <w:tcMar>
              <w:top w:w="95" w:type="dxa"/>
              <w:bottom w:w="95" w:type="dxa"/>
              <w:left w:w="110" w:type="dxa"/>
              <w:right w:w="110" w:type="dxa"/>
            </w:tcMar>
            <w:shd w:fill="FFFFFF"/>
          </w:tcPr>
          <w:p>
            <w:pPr>
              <w:spacing w:after="0" w:line="259" w:lineRule="auto"/>
            </w:pPr>
            <w:r>
              <w:rPr>
                <w:b w:val="0"/>
                <w:color w:val="000000"/>
                <w:sz w:val="19"/>
              </w:rPr>
              <w:t>Application UI, calling state, secure bootstrap, device registration and network recovery.</w:t>
            </w:r>
          </w:p>
        </w:tc>
      </w:tr>
      <w:tr>
        <w:trPr>
          <w:cantSplit/>
        </w:trPr>
        <w:tc>
          <w:tcPr>
            <w:tcW w:type="dxa" w:w="1613"/>
            <w:vAlign w:val="center"/>
            <w:tcMar>
              <w:top w:w="95" w:type="dxa"/>
              <w:bottom w:w="95" w:type="dxa"/>
              <w:left w:w="110" w:type="dxa"/>
              <w:right w:w="110" w:type="dxa"/>
            </w:tcMar>
            <w:shd w:fill="F5F7FA"/>
          </w:tcPr>
          <w:p>
            <w:pPr>
              <w:spacing w:after="0" w:line="259" w:lineRule="auto"/>
            </w:pPr>
            <w:r>
              <w:rPr>
                <w:b w:val="0"/>
                <w:color w:val="000000"/>
                <w:sz w:val="19"/>
              </w:rPr>
              <w:t>Native integrations</w:t>
            </w:r>
          </w:p>
        </w:tc>
        <w:tc>
          <w:tcPr>
            <w:tcW w:type="dxa" w:w="4061"/>
            <w:vAlign w:val="center"/>
            <w:tcMar>
              <w:top w:w="95" w:type="dxa"/>
              <w:bottom w:w="95" w:type="dxa"/>
              <w:left w:w="110" w:type="dxa"/>
              <w:right w:w="110" w:type="dxa"/>
            </w:tcMar>
            <w:shd w:fill="F5F7FA"/>
          </w:tcPr>
          <w:p>
            <w:pPr>
              <w:spacing w:after="0" w:line="259" w:lineRule="auto"/>
            </w:pPr>
            <w:r>
              <w:rPr>
                <w:b w:val="0"/>
                <w:color w:val="000000"/>
                <w:sz w:val="19"/>
              </w:rPr>
              <w:t>Swift with Objective-C bridge on iOS; Kotlin on Android.</w:t>
            </w:r>
          </w:p>
        </w:tc>
        <w:tc>
          <w:tcPr>
            <w:tcW w:type="dxa" w:w="4162"/>
            <w:vAlign w:val="center"/>
            <w:tcMar>
              <w:top w:w="95" w:type="dxa"/>
              <w:bottom w:w="95" w:type="dxa"/>
              <w:left w:w="110" w:type="dxa"/>
              <w:right w:w="110" w:type="dxa"/>
            </w:tcMar>
            <w:shd w:fill="F5F7FA"/>
          </w:tcPr>
          <w:p>
            <w:pPr>
              <w:spacing w:after="0" w:line="259" w:lineRule="auto"/>
            </w:pPr>
            <w:r>
              <w:rPr>
                <w:b w:val="0"/>
                <w:color w:val="000000"/>
                <w:sz w:val="19"/>
              </w:rPr>
              <w:t>CallKit/PushKit, Android Telecom, incoming-call UI, native audio and background startup.</w:t>
            </w:r>
          </w:p>
        </w:tc>
      </w:tr>
      <w:tr>
        <w:trPr>
          <w:cantSplit/>
        </w:trPr>
        <w:tc>
          <w:tcPr>
            <w:tcW w:type="dxa" w:w="1613"/>
            <w:vAlign w:val="center"/>
            <w:tcMar>
              <w:top w:w="95" w:type="dxa"/>
              <w:bottom w:w="95" w:type="dxa"/>
              <w:left w:w="110" w:type="dxa"/>
              <w:right w:w="110" w:type="dxa"/>
            </w:tcMar>
            <w:shd w:fill="FFFFFF"/>
          </w:tcPr>
          <w:p>
            <w:pPr>
              <w:spacing w:after="0" w:line="259" w:lineRule="auto"/>
            </w:pPr>
            <w:r>
              <w:rPr>
                <w:b w:val="0"/>
                <w:color w:val="000000"/>
                <w:sz w:val="19"/>
              </w:rPr>
              <w:t>Data</w:t>
            </w:r>
          </w:p>
        </w:tc>
        <w:tc>
          <w:tcPr>
            <w:tcW w:type="dxa" w:w="4061"/>
            <w:vAlign w:val="center"/>
            <w:tcMar>
              <w:top w:w="95" w:type="dxa"/>
              <w:bottom w:w="95" w:type="dxa"/>
              <w:left w:w="110" w:type="dxa"/>
              <w:right w:w="110" w:type="dxa"/>
            </w:tcMar>
            <w:shd w:fill="FFFFFF"/>
          </w:tcPr>
          <w:p>
            <w:pPr>
              <w:spacing w:after="0" w:line="259" w:lineRule="auto"/>
            </w:pPr>
            <w:r>
              <w:rPr>
                <w:b w:val="0"/>
                <w:color w:val="000000"/>
                <w:sz w:val="19"/>
              </w:rPr>
              <w:t>PostgreSQL via the postgres JavaScript client.</w:t>
            </w:r>
          </w:p>
        </w:tc>
        <w:tc>
          <w:tcPr>
            <w:tcW w:type="dxa" w:w="4162"/>
            <w:vAlign w:val="center"/>
            <w:tcMar>
              <w:top w:w="95" w:type="dxa"/>
              <w:bottom w:w="95" w:type="dxa"/>
              <w:left w:w="110" w:type="dxa"/>
              <w:right w:w="110" w:type="dxa"/>
            </w:tcMar>
            <w:shd w:fill="FFFFFF"/>
          </w:tcPr>
          <w:p>
            <w:pPr>
              <w:spacing w:after="0" w:line="259" w:lineRule="auto"/>
            </w:pPr>
            <w:r>
              <w:rPr>
                <w:b w:val="0"/>
                <w:color w:val="000000"/>
                <w:sz w:val="19"/>
              </w:rPr>
              <w:t>Tenant records, configuration, sessions, routes, ledgers, messages and event persistence.</w:t>
            </w:r>
          </w:p>
        </w:tc>
      </w:tr>
      <w:tr>
        <w:trPr>
          <w:cantSplit/>
        </w:trPr>
        <w:tc>
          <w:tcPr>
            <w:tcW w:type="dxa" w:w="1613"/>
            <w:vAlign w:val="center"/>
            <w:tcMar>
              <w:top w:w="95" w:type="dxa"/>
              <w:bottom w:w="95" w:type="dxa"/>
              <w:left w:w="110" w:type="dxa"/>
              <w:right w:w="110" w:type="dxa"/>
            </w:tcMar>
            <w:shd w:fill="F5F7FA"/>
          </w:tcPr>
          <w:p>
            <w:pPr>
              <w:spacing w:after="0" w:line="259" w:lineRule="auto"/>
            </w:pPr>
            <w:r>
              <w:rPr>
                <w:b w:val="0"/>
                <w:color w:val="000000"/>
                <w:sz w:val="19"/>
              </w:rPr>
              <w:t>Voice infrastructure</w:t>
            </w:r>
          </w:p>
        </w:tc>
        <w:tc>
          <w:tcPr>
            <w:tcW w:type="dxa" w:w="4061"/>
            <w:vAlign w:val="center"/>
            <w:tcMar>
              <w:top w:w="95" w:type="dxa"/>
              <w:bottom w:w="95" w:type="dxa"/>
              <w:left w:w="110" w:type="dxa"/>
              <w:right w:w="110" w:type="dxa"/>
            </w:tcMar>
            <w:shd w:fill="F5F7FA"/>
          </w:tcPr>
          <w:p>
            <w:pPr>
              <w:spacing w:after="0" w:line="259" w:lineRule="auto"/>
            </w:pPr>
            <w:r>
              <w:rPr>
                <w:b w:val="0"/>
                <w:color w:val="000000"/>
                <w:sz w:val="19"/>
              </w:rPr>
              <w:t>Kamailio; RTPEngine; FreeSWITCH; coturn; Docker Compose; Nginx.</w:t>
            </w:r>
          </w:p>
        </w:tc>
        <w:tc>
          <w:tcPr>
            <w:tcW w:type="dxa" w:w="4162"/>
            <w:vAlign w:val="center"/>
            <w:tcMar>
              <w:top w:w="95" w:type="dxa"/>
              <w:bottom w:w="95" w:type="dxa"/>
              <w:left w:w="110" w:type="dxa"/>
              <w:right w:w="110" w:type="dxa"/>
            </w:tcMar>
            <w:shd w:fill="F5F7FA"/>
          </w:tcPr>
          <w:p>
            <w:pPr>
              <w:spacing w:after="0" w:line="259" w:lineRule="auto"/>
            </w:pPr>
            <w:r>
              <w:rPr>
                <w:b w:val="0"/>
                <w:color w:val="000000"/>
                <w:sz w:val="19"/>
              </w:rPr>
              <w:t>SIP routing/registration, media relay, PBX/trunk interaction, TURN and proxying.</w:t>
            </w:r>
          </w:p>
        </w:tc>
      </w:tr>
      <w:tr>
        <w:trPr>
          <w:cantSplit/>
        </w:trPr>
        <w:tc>
          <w:tcPr>
            <w:tcW w:type="dxa" w:w="1613"/>
            <w:vAlign w:val="center"/>
            <w:tcMar>
              <w:top w:w="95" w:type="dxa"/>
              <w:bottom w:w="95" w:type="dxa"/>
              <w:left w:w="110" w:type="dxa"/>
              <w:right w:w="110" w:type="dxa"/>
            </w:tcMar>
            <w:shd w:fill="FFFFFF"/>
          </w:tcPr>
          <w:p>
            <w:pPr>
              <w:spacing w:after="0" w:line="259" w:lineRule="auto"/>
            </w:pPr>
            <w:r>
              <w:rPr>
                <w:b w:val="0"/>
                <w:color w:val="000000"/>
                <w:sz w:val="19"/>
              </w:rPr>
              <w:t>AI and speech</w:t>
            </w:r>
          </w:p>
        </w:tc>
        <w:tc>
          <w:tcPr>
            <w:tcW w:type="dxa" w:w="4061"/>
            <w:vAlign w:val="center"/>
            <w:tcMar>
              <w:top w:w="95" w:type="dxa"/>
              <w:bottom w:w="95" w:type="dxa"/>
              <w:left w:w="110" w:type="dxa"/>
              <w:right w:w="110" w:type="dxa"/>
            </w:tcMar>
            <w:shd w:fill="FFFFFF"/>
          </w:tcPr>
          <w:p>
            <w:pPr>
              <w:spacing w:after="0" w:line="259" w:lineRule="auto"/>
            </w:pPr>
            <w:r>
              <w:rPr>
                <w:b w:val="0"/>
                <w:color w:val="000000"/>
                <w:sz w:val="19"/>
              </w:rPr>
              <w:t>Python; FastAPI/Uvicorn service APIs; faster-whisper; Kokoro; external LLM API.</w:t>
            </w:r>
          </w:p>
        </w:tc>
        <w:tc>
          <w:tcPr>
            <w:tcW w:type="dxa" w:w="4162"/>
            <w:vAlign w:val="center"/>
            <w:tcMar>
              <w:top w:w="95" w:type="dxa"/>
              <w:bottom w:w="95" w:type="dxa"/>
              <w:left w:w="110" w:type="dxa"/>
              <w:right w:w="110" w:type="dxa"/>
            </w:tcMar>
            <w:shd w:fill="FFFFFF"/>
          </w:tcPr>
          <w:p>
            <w:pPr>
              <w:spacing w:after="0" w:line="259" w:lineRule="auto"/>
            </w:pPr>
            <w:r>
              <w:rPr>
                <w:b w:val="0"/>
                <w:color w:val="000000"/>
                <w:sz w:val="19"/>
              </w:rPr>
              <w:t>Speech recognition, conversation orchestration, speech generation and prompt cache.</w:t>
            </w:r>
          </w:p>
        </w:tc>
      </w:tr>
    </w:tbl>
    <w:p>
      <w:pPr>
        <w:spacing w:after="20"/>
      </w:pPr>
      <w:r/>
    </w:p>
    <w:p>
      <w:pPr>
        <w:pStyle w:val="Heading2"/>
      </w:pPr>
      <w:r>
        <w:t>Two voice paths remain in the code</w:t>
      </w:r>
    </w:p>
    <w:p>
      <w:r>
        <w:t>voice-provider.ts selects the Vocivo SIP path only when VOCIVO_VOICE_EDGE equals sip; all other values select the Telnyx managed path. Web useVoice and the mobile engine facade choose corresponding adapters. Confirm the deployed value and voice-config response before diagnosing a fault. Do not treat a retained SDK or a legacy hostname default as proof of the active production path.</w:t>
      </w:r>
    </w:p>
    <w:p>
      <w:r>
        <w:t>SIP path: web/mobile SIP.js -&gt; Kamailio -&gt; RTPEngine for media. External calls and PBX/AI flows involve FreeSWITCH, with Telnyx providing the PSTN trunk. Managed path: Telnyx SDK -&gt; Telnyx calling, coordinated by Vocivo webhooks and call-pair stores.</w:t>
      </w:r>
    </w:p>
    <w:p>
      <w:pPr>
        <w:pStyle w:val="Heading2"/>
      </w:pPr>
      <w:r>
        <w:t>Hosting and responsibility</w:t>
      </w:r>
    </w:p>
    <w:p>
      <w:r>
        <w:t>Repository deployment targets are Vercel for web/API and DigitalOcean Ubuntu for the SIP/AI services. Vocivo controls application logic and configured infrastructure; Vercel, the hosting/database operator, Apple, Google, the model provider and Telnyx remain dependencies. Open-source engines retain their own licenses. Production configuration, access ownership and exact deployed revisions must be inventoried at kickoff; this PID is not a live health check.</w:t>
      </w:r>
    </w:p>
    <w:p>
      <w:pPr>
        <w:pStyle w:val="Heading1"/>
        <w:pageBreakBefore/>
      </w:pPr>
      <w:r>
        <w:t>5 Critical End to End Workflows</w:t>
      </w:r>
    </w:p>
    <w:p>
      <w:pPr>
        <w:pStyle w:val="Heading2"/>
      </w:pPr>
      <w:r>
        <w:t>Extension call within one organization</w:t>
      </w:r>
    </w:p>
    <w:p>
      <w:r>
        <w:t>The authenticated client loads the voice configuration and obtains its own temporary credential. The directory supplies the intended colleague, and voice-route checks the caller, organization, target status and internal-calling entitlement before issuing a signed grant. Kamailio authenticates registration and consumes the call authorization, looks up contacts, issues device wakes and forks the invitation. The configuration allows a bounded 45-second late-registration window. The answer establishes the selected dialog and media path; losing branches and cancellation must terminate deterministically.</w:t>
      </w:r>
    </w:p>
    <w:p>
      <w:pPr>
        <w:pStyle w:val="Heading2"/>
      </w:pPr>
      <w:r>
        <w:t>Incoming call and AI transfer</w:t>
      </w:r>
    </w:p>
    <w:p>
      <w:r>
        <w:t>An incoming carrier number must resolve to exactly one authorized customer configuration. The SIP APIs generate FreeSWITCH dialplan behavior for its office hours, IVR, queues or AI receptionist. The receptionist obtains that tenant's greeting, instructions and permitted targets, recognizes speech locally, requests a model response and renders speech through TTS. A transfer re-enters the dialplan for the requested permitted extension. The current failed-transfer path marks the call to return to the receptionist; other routes can use voicemail or an unavailable prompt.</w:t>
      </w:r>
    </w:p>
    <w:p>
      <w:r>
        <w:t>The current conversation loop is intended to continue rather than stop after a fixed turn count. Silence is still subject to an idle policy. Source defaults include a 12-second caller recording window and a 90-second idle release; deployed overrides and long-speech behavior require explicit verification. Do not promise unlimited recording, interruption support or zero speech latency from these settings alone.</w:t>
      </w:r>
    </w:p>
    <w:p>
      <w:pPr>
        <w:pStyle w:val="Heading2"/>
      </w:pPr>
      <w:r>
        <w:t>Mobile background answer</w:t>
      </w:r>
    </w:p>
    <w:p>
      <w:r>
        <w:t>A registered device receives an appropriate native push. The iOS module reports the incoming call; Android starts its incoming-call UI/service path. Secure cached identity and expiring voice credentials support runtime startup. The pending native Answer action must wait for the matching SIP invitation and successful accept, while retaining a bounded failure timeout. The native UI, JavaScript call object and actual dialog must refer to the same call. Sign-out must invalidate pending startup work and stop future delivery to that account.</w:t>
      </w:r>
    </w:p>
    <w:p>
      <w:pPr>
        <w:pStyle w:val="Heading2"/>
      </w:pPr>
      <w:r>
        <w:t>External calling and accounting</w:t>
      </w:r>
    </w:p>
    <w:p>
      <w:r>
        <w:t>The API validates a complete international destination, an owned or verified caller ID, outbound permissions and the customer wallet. The selected edge then connects the call through the carrier. Route IDs, related call legs and hangup/CDR callbacks drive history and accounting. Retries must not dial twice or charge twice. A completed callback is not, by itself, proof that settlement and retail charges reconcile.</w:t>
      </w:r>
    </w:p>
    <w:p>
      <w:pPr>
        <w:pStyle w:val="Heading2"/>
      </w:pPr>
      <w:r>
        <w:t>Network and call teardown</w:t>
      </w:r>
    </w:p>
    <w:p>
      <w:r>
        <w:t>Engine events are authoritative for session state. Media health and ICE recovery are separate checks. Network migration requires a supported renegotiation path, with operation locks and bounded recovery. Failure must release UI timers, ringtone, listeners, streams and native call presentation. Retain unresolved remote termination work for controlled retry without leaving the customer trapped on an orphaned screen.</w:t>
      </w:r>
    </w:p>
    <w:p>
      <w:pPr>
        <w:pStyle w:val="Heading1"/>
        <w:pageBreakBefore/>
      </w:pPr>
      <w:r>
        <w:t>6 Review and Remediation Work Packages</w:t>
      </w:r>
    </w:p>
    <w:p>
      <w:r>
        <w:t>These priorities translate reported behavior into investigation tasks. They do not assert that every historical defect still exists at this commit. Reproduce against the pinned build and attach evidence before changing behavior.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4392"/>
        <w:gridCol w:w="3571"/>
      </w:tblGrid>
      <w:tr>
        <w:trPr>
          <w:cantSplit/>
          <w:tblHeader/>
        </w:trPr>
        <w:tc>
          <w:tcPr>
            <w:tcW w:type="dxa" w:w="1872"/>
            <w:vAlign w:val="center"/>
            <w:tcMar>
              <w:top w:w="95" w:type="dxa"/>
              <w:bottom w:w="95" w:type="dxa"/>
              <w:left w:w="110" w:type="dxa"/>
              <w:right w:w="110" w:type="dxa"/>
            </w:tcMar>
            <w:shd w:fill="DCEAF5"/>
          </w:tcPr>
          <w:p>
            <w:pPr>
              <w:spacing w:after="0" w:line="259" w:lineRule="auto"/>
            </w:pPr>
            <w:r>
              <w:rPr>
                <w:b/>
                <w:color w:val="000000"/>
                <w:sz w:val="18"/>
              </w:rPr>
              <w:t>Priority and package</w:t>
            </w:r>
          </w:p>
        </w:tc>
        <w:tc>
          <w:tcPr>
            <w:tcW w:type="dxa" w:w="4392"/>
            <w:vAlign w:val="center"/>
            <w:tcMar>
              <w:top w:w="95" w:type="dxa"/>
              <w:bottom w:w="95" w:type="dxa"/>
              <w:left w:w="110" w:type="dxa"/>
              <w:right w:w="110" w:type="dxa"/>
            </w:tcMar>
            <w:shd w:fill="DCEAF5"/>
          </w:tcPr>
          <w:p>
            <w:pPr>
              <w:spacing w:after="0" w:line="259" w:lineRule="auto"/>
            </w:pPr>
            <w:r>
              <w:rPr>
                <w:b/>
                <w:color w:val="000000"/>
                <w:sz w:val="18"/>
              </w:rPr>
              <w:t>Required engineering work</w:t>
            </w:r>
          </w:p>
        </w:tc>
        <w:tc>
          <w:tcPr>
            <w:tcW w:type="dxa" w:w="3571"/>
            <w:vAlign w:val="center"/>
            <w:tcMar>
              <w:top w:w="95" w:type="dxa"/>
              <w:bottom w:w="95" w:type="dxa"/>
              <w:left w:w="110" w:type="dxa"/>
              <w:right w:w="110" w:type="dxa"/>
            </w:tcMar>
            <w:shd w:fill="DCEAF5"/>
          </w:tcPr>
          <w:p>
            <w:pPr>
              <w:spacing w:after="0" w:line="259" w:lineRule="auto"/>
            </w:pPr>
            <w:r>
              <w:rPr>
                <w:b/>
                <w:color w:val="000000"/>
                <w:sz w:val="18"/>
              </w:rPr>
              <w:t>Evidence for completion</w:t>
            </w:r>
          </w:p>
        </w:tc>
      </w:tr>
      <w:tr>
        <w:trPr>
          <w:cantSplit/>
        </w:trPr>
        <w:tc>
          <w:tcPr>
            <w:tcW w:type="dxa" w:w="1872"/>
            <w:vAlign w:val="center"/>
            <w:tcMar>
              <w:top w:w="95" w:type="dxa"/>
              <w:bottom w:w="95" w:type="dxa"/>
              <w:left w:w="110" w:type="dxa"/>
              <w:right w:w="110" w:type="dxa"/>
            </w:tcMar>
            <w:shd w:fill="FFFFFF"/>
          </w:tcPr>
          <w:p>
            <w:pPr>
              <w:spacing w:after="0" w:line="259" w:lineRule="auto"/>
            </w:pPr>
            <w:r>
              <w:rPr>
                <w:b w:val="0"/>
                <w:color w:val="000000"/>
                <w:sz w:val="18"/>
              </w:rPr>
              <w:t>High  W01 Identity and isolation</w:t>
            </w:r>
          </w:p>
        </w:tc>
        <w:tc>
          <w:tcPr>
            <w:tcW w:type="dxa" w:w="4392"/>
            <w:vAlign w:val="center"/>
            <w:tcMar>
              <w:top w:w="95" w:type="dxa"/>
              <w:bottom w:w="95" w:type="dxa"/>
              <w:left w:w="110" w:type="dxa"/>
              <w:right w:w="110" w:type="dxa"/>
            </w:tcMar>
            <w:shd w:fill="FFFFFF"/>
          </w:tcPr>
          <w:p>
            <w:pPr>
              <w:spacing w:after="0" w:line="259" w:lineRule="auto"/>
            </w:pPr>
            <w:r>
              <w:rPr>
                <w:b w:val="0"/>
                <w:color w:val="000000"/>
                <w:sz w:val="18"/>
              </w:rPr>
              <w:t>Trace sessions through SIP credentials, registration, route grants, conference/transfer access, SMS, numbers, reports and API keys. Review tenant transaction context and shared configuration.</w:t>
            </w:r>
          </w:p>
        </w:tc>
        <w:tc>
          <w:tcPr>
            <w:tcW w:type="dxa" w:w="3571"/>
            <w:vAlign w:val="center"/>
            <w:tcMar>
              <w:top w:w="95" w:type="dxa"/>
              <w:bottom w:w="95" w:type="dxa"/>
              <w:left w:w="110" w:type="dxa"/>
              <w:right w:w="110" w:type="dxa"/>
            </w:tcMar>
            <w:shd w:fill="FFFFFF"/>
          </w:tcPr>
          <w:p>
            <w:pPr>
              <w:spacing w:after="0" w:line="259" w:lineRule="auto"/>
            </w:pPr>
            <w:r>
              <w:rPr>
                <w:b w:val="0"/>
                <w:color w:val="000000"/>
                <w:sz w:val="18"/>
              </w:rPr>
              <w:t>Negative tenant tests; rejected spoof/replay cases; no leaked data or carrier secrets.</w:t>
            </w:r>
          </w:p>
        </w:tc>
      </w:tr>
      <w:tr>
        <w:trPr>
          <w:cantSplit/>
        </w:trPr>
        <w:tc>
          <w:tcPr>
            <w:tcW w:type="dxa" w:w="1872"/>
            <w:vAlign w:val="center"/>
            <w:tcMar>
              <w:top w:w="95" w:type="dxa"/>
              <w:bottom w:w="95" w:type="dxa"/>
              <w:left w:w="110" w:type="dxa"/>
              <w:right w:w="110" w:type="dxa"/>
            </w:tcMar>
            <w:shd w:fill="F5F7FA"/>
          </w:tcPr>
          <w:p>
            <w:pPr>
              <w:spacing w:after="0" w:line="259" w:lineRule="auto"/>
            </w:pPr>
            <w:r>
              <w:rPr>
                <w:b w:val="0"/>
                <w:color w:val="000000"/>
                <w:sz w:val="18"/>
              </w:rPr>
              <w:t>High  W02 Call reliability</w:t>
            </w:r>
          </w:p>
        </w:tc>
        <w:tc>
          <w:tcPr>
            <w:tcW w:type="dxa" w:w="4392"/>
            <w:vAlign w:val="center"/>
            <w:tcMar>
              <w:top w:w="95" w:type="dxa"/>
              <w:bottom w:w="95" w:type="dxa"/>
              <w:left w:w="110" w:type="dxa"/>
              <w:right w:w="110" w:type="dxa"/>
            </w:tcMar>
            <w:shd w:fill="F5F7FA"/>
          </w:tcPr>
          <w:p>
            <w:pPr>
              <w:spacing w:after="0" w:line="259" w:lineRule="auto"/>
            </w:pPr>
            <w:r>
              <w:rPr>
                <w:b w:val="0"/>
                <w:color w:val="000000"/>
                <w:sz w:val="18"/>
              </w:rPr>
              <w:t>Reproduce failed extensions, late rings, cancel/answer races, duplicated branches and unanswered-call exits. Review state transitions across API, edge and clients.</w:t>
            </w:r>
          </w:p>
        </w:tc>
        <w:tc>
          <w:tcPr>
            <w:tcW w:type="dxa" w:w="3571"/>
            <w:vAlign w:val="center"/>
            <w:tcMar>
              <w:top w:w="95" w:type="dxa"/>
              <w:bottom w:w="95" w:type="dxa"/>
              <w:left w:w="110" w:type="dxa"/>
              <w:right w:w="110" w:type="dxa"/>
            </w:tcMar>
            <w:shd w:fill="F5F7FA"/>
          </w:tcPr>
          <w:p>
            <w:pPr>
              <w:spacing w:after="0" w:line="259" w:lineRule="auto"/>
            </w:pPr>
            <w:r>
              <w:rPr>
                <w:b w:val="0"/>
                <w:color w:val="000000"/>
                <w:sz w:val="18"/>
              </w:rPr>
              <w:t>Correlated SIP trace, call IDs and device video; regression cases for each root cause.</w:t>
            </w:r>
          </w:p>
        </w:tc>
      </w:tr>
      <w:tr>
        <w:trPr>
          <w:cantSplit/>
        </w:trPr>
        <w:tc>
          <w:tcPr>
            <w:tcW w:type="dxa" w:w="1872"/>
            <w:vAlign w:val="center"/>
            <w:tcMar>
              <w:top w:w="95" w:type="dxa"/>
              <w:bottom w:w="95" w:type="dxa"/>
              <w:left w:w="110" w:type="dxa"/>
              <w:right w:w="110" w:type="dxa"/>
            </w:tcMar>
            <w:shd w:fill="FFFFFF"/>
          </w:tcPr>
          <w:p>
            <w:pPr>
              <w:spacing w:after="0" w:line="259" w:lineRule="auto"/>
            </w:pPr>
            <w:r>
              <w:rPr>
                <w:b w:val="0"/>
                <w:color w:val="000000"/>
                <w:sz w:val="18"/>
              </w:rPr>
              <w:t>High  W03 Background and media</w:t>
            </w:r>
          </w:p>
        </w:tc>
        <w:tc>
          <w:tcPr>
            <w:tcW w:type="dxa" w:w="4392"/>
            <w:vAlign w:val="center"/>
            <w:tcMar>
              <w:top w:w="95" w:type="dxa"/>
              <w:bottom w:w="95" w:type="dxa"/>
              <w:left w:w="110" w:type="dxa"/>
              <w:right w:w="110" w:type="dxa"/>
            </w:tcMar>
            <w:shd w:fill="FFFFFF"/>
          </w:tcPr>
          <w:p>
            <w:pPr>
              <w:spacing w:after="0" w:line="259" w:lineRule="auto"/>
            </w:pPr>
            <w:r>
              <w:rPr>
                <w:b w:val="0"/>
                <w:color w:val="000000"/>
                <w:sz w:val="18"/>
              </w:rPr>
              <w:t>Test cold starts, PushKit/FCM refresh, Answer-before-INVITE, native audio ownership, ICE failure and network migration.</w:t>
            </w:r>
          </w:p>
        </w:tc>
        <w:tc>
          <w:tcPr>
            <w:tcW w:type="dxa" w:w="3571"/>
            <w:vAlign w:val="center"/>
            <w:tcMar>
              <w:top w:w="95" w:type="dxa"/>
              <w:bottom w:w="95" w:type="dxa"/>
              <w:left w:w="110" w:type="dxa"/>
              <w:right w:w="110" w:type="dxa"/>
            </w:tcMar>
            <w:shd w:fill="FFFFFF"/>
          </w:tcPr>
          <w:p>
            <w:pPr>
              <w:spacing w:after="0" w:line="259" w:lineRule="auto"/>
            </w:pPr>
            <w:r>
              <w:rPr>
                <w:b w:val="0"/>
                <w:color w:val="000000"/>
                <w:sz w:val="18"/>
              </w:rPr>
              <w:t>Physical iOS/Android results with two-way audio and bounded recovery/cleanup timing.</w:t>
            </w:r>
          </w:p>
        </w:tc>
      </w:tr>
      <w:tr>
        <w:trPr>
          <w:cantSplit/>
        </w:trPr>
        <w:tc>
          <w:tcPr>
            <w:tcW w:type="dxa" w:w="1872"/>
            <w:vAlign w:val="center"/>
            <w:tcMar>
              <w:top w:w="95" w:type="dxa"/>
              <w:bottom w:w="95" w:type="dxa"/>
              <w:left w:w="110" w:type="dxa"/>
              <w:right w:w="110" w:type="dxa"/>
            </w:tcMar>
            <w:shd w:fill="F5F7FA"/>
          </w:tcPr>
          <w:p>
            <w:pPr>
              <w:spacing w:after="0" w:line="259" w:lineRule="auto"/>
            </w:pPr>
            <w:r>
              <w:rPr>
                <w:b w:val="0"/>
                <w:color w:val="000000"/>
                <w:sz w:val="18"/>
              </w:rPr>
              <w:t>High  W04 AI continuity</w:t>
            </w:r>
          </w:p>
        </w:tc>
        <w:tc>
          <w:tcPr>
            <w:tcW w:type="dxa" w:w="4392"/>
            <w:vAlign w:val="center"/>
            <w:tcMar>
              <w:top w:w="95" w:type="dxa"/>
              <w:bottom w:w="95" w:type="dxa"/>
              <w:left w:w="110" w:type="dxa"/>
              <w:right w:w="110" w:type="dxa"/>
            </w:tcMar>
            <w:shd w:fill="F5F7FA"/>
          </w:tcPr>
          <w:p>
            <w:pPr>
              <w:spacing w:after="0" w:line="259" w:lineRule="auto"/>
            </w:pPr>
            <w:r>
              <w:rPr>
                <w:b w:val="0"/>
                <w:color w:val="000000"/>
                <w:sz w:val="18"/>
              </w:rPr>
              <w:t>Investigate silence, short recording windows, model/TTS delays, transfer loops and mid-conversation exits; verify caller and tenant identity.</w:t>
            </w:r>
          </w:p>
        </w:tc>
        <w:tc>
          <w:tcPr>
            <w:tcW w:type="dxa" w:w="3571"/>
            <w:vAlign w:val="center"/>
            <w:tcMar>
              <w:top w:w="95" w:type="dxa"/>
              <w:bottom w:w="95" w:type="dxa"/>
              <w:left w:w="110" w:type="dxa"/>
              <w:right w:w="110" w:type="dxa"/>
            </w:tcMar>
            <w:shd w:fill="F5F7FA"/>
          </w:tcPr>
          <w:p>
            <w:pPr>
              <w:spacing w:after="0" w:line="259" w:lineRule="auto"/>
            </w:pPr>
            <w:r>
              <w:rPr>
                <w:b w:val="0"/>
                <w:color w:val="000000"/>
                <w:sz w:val="18"/>
              </w:rPr>
              <w:t>Long-conversation recording review, service stage timings and transfer/no-answer traces.</w:t>
            </w:r>
          </w:p>
        </w:tc>
      </w:tr>
      <w:tr>
        <w:trPr>
          <w:cantSplit/>
        </w:trPr>
        <w:tc>
          <w:tcPr>
            <w:tcW w:type="dxa" w:w="1872"/>
            <w:vAlign w:val="center"/>
            <w:tcMar>
              <w:top w:w="95" w:type="dxa"/>
              <w:bottom w:w="95" w:type="dxa"/>
              <w:left w:w="110" w:type="dxa"/>
              <w:right w:w="110" w:type="dxa"/>
            </w:tcMar>
            <w:shd w:fill="FFFFFF"/>
          </w:tcPr>
          <w:p>
            <w:pPr>
              <w:spacing w:after="0" w:line="259" w:lineRule="auto"/>
            </w:pPr>
            <w:r>
              <w:rPr>
                <w:b w:val="0"/>
                <w:color w:val="000000"/>
                <w:sz w:val="18"/>
              </w:rPr>
              <w:t>High  W05 Money and persistence</w:t>
            </w:r>
          </w:p>
        </w:tc>
        <w:tc>
          <w:tcPr>
            <w:tcW w:type="dxa" w:w="4392"/>
            <w:vAlign w:val="center"/>
            <w:tcMar>
              <w:top w:w="95" w:type="dxa"/>
              <w:bottom w:w="95" w:type="dxa"/>
              <w:left w:w="110" w:type="dxa"/>
              <w:right w:w="110" w:type="dxa"/>
            </w:tcMar>
            <w:shd w:fill="FFFFFF"/>
          </w:tcPr>
          <w:p>
            <w:pPr>
              <w:spacing w:after="0" w:line="259" w:lineRule="auto"/>
            </w:pPr>
            <w:r>
              <w:rPr>
                <w:b w:val="0"/>
                <w:color w:val="000000"/>
                <w:sz w:val="18"/>
              </w:rPr>
              <w:t>Review call-pair CAS/transactions, route updates, ledger adjustments, usage, duplicate callbacks and billing authorization.</w:t>
            </w:r>
          </w:p>
        </w:tc>
        <w:tc>
          <w:tcPr>
            <w:tcW w:type="dxa" w:w="3571"/>
            <w:vAlign w:val="center"/>
            <w:tcMar>
              <w:top w:w="95" w:type="dxa"/>
              <w:bottom w:w="95" w:type="dxa"/>
              <w:left w:w="110" w:type="dxa"/>
              <w:right w:w="110" w:type="dxa"/>
            </w:tcMar>
            <w:shd w:fill="FFFFFF"/>
          </w:tcPr>
          <w:p>
            <w:pPr>
              <w:spacing w:after="0" w:line="259" w:lineRule="auto"/>
            </w:pPr>
            <w:r>
              <w:rPr>
                <w:b w:val="0"/>
                <w:color w:val="000000"/>
                <w:sz w:val="18"/>
              </w:rPr>
              <w:t>Concurrent/replay tests and balanced before/after ledger reconciliation.</w:t>
            </w:r>
          </w:p>
        </w:tc>
      </w:tr>
      <w:tr>
        <w:trPr>
          <w:cantSplit/>
        </w:trPr>
        <w:tc>
          <w:tcPr>
            <w:tcW w:type="dxa" w:w="1872"/>
            <w:vAlign w:val="center"/>
            <w:tcMar>
              <w:top w:w="95" w:type="dxa"/>
              <w:bottom w:w="95" w:type="dxa"/>
              <w:left w:w="110" w:type="dxa"/>
              <w:right w:w="110" w:type="dxa"/>
            </w:tcMar>
            <w:shd w:fill="F5F7FA"/>
          </w:tcPr>
          <w:p>
            <w:pPr>
              <w:spacing w:after="0" w:line="259" w:lineRule="auto"/>
            </w:pPr>
            <w:r>
              <w:rPr>
                <w:b w:val="0"/>
                <w:color w:val="000000"/>
                <w:sz w:val="18"/>
              </w:rPr>
              <w:t>Medium  W06 Performance and UX</w:t>
            </w:r>
          </w:p>
        </w:tc>
        <w:tc>
          <w:tcPr>
            <w:tcW w:type="dxa" w:w="4392"/>
            <w:vAlign w:val="center"/>
            <w:tcMar>
              <w:top w:w="95" w:type="dxa"/>
              <w:bottom w:w="95" w:type="dxa"/>
              <w:left w:w="110" w:type="dxa"/>
              <w:right w:w="110" w:type="dxa"/>
            </w:tcMar>
            <w:shd w:fill="F5F7FA"/>
          </w:tcPr>
          <w:p>
            <w:pPr>
              <w:spacing w:after="0" w:line="259" w:lineRule="auto"/>
            </w:pPr>
            <w:r>
              <w:rPr>
                <w:b w:val="0"/>
                <w:color w:val="000000"/>
                <w:sz w:val="18"/>
              </w:rPr>
              <w:t>Measure call-button feedback, startup/registration, false offline states, timer inception, status messages and ringtone/media cleanup.</w:t>
            </w:r>
          </w:p>
        </w:tc>
        <w:tc>
          <w:tcPr>
            <w:tcW w:type="dxa" w:w="3571"/>
            <w:vAlign w:val="center"/>
            <w:tcMar>
              <w:top w:w="95" w:type="dxa"/>
              <w:bottom w:w="95" w:type="dxa"/>
              <w:left w:w="110" w:type="dxa"/>
              <w:right w:w="110" w:type="dxa"/>
            </w:tcMar>
            <w:shd w:fill="F5F7FA"/>
          </w:tcPr>
          <w:p>
            <w:pPr>
              <w:spacing w:after="0" w:line="259" w:lineRule="auto"/>
            </w:pPr>
            <w:r>
              <w:rPr>
                <w:b w:val="0"/>
                <w:color w:val="000000"/>
                <w:sz w:val="18"/>
              </w:rPr>
              <w:t>Before/after measurements on agreed browsers/devices with repeatable conditions.</w:t>
            </w:r>
          </w:p>
        </w:tc>
      </w:tr>
      <w:tr>
        <w:trPr>
          <w:cantSplit/>
        </w:trPr>
        <w:tc>
          <w:tcPr>
            <w:tcW w:type="dxa" w:w="1872"/>
            <w:vAlign w:val="center"/>
            <w:tcMar>
              <w:top w:w="95" w:type="dxa"/>
              <w:bottom w:w="95" w:type="dxa"/>
              <w:left w:w="110" w:type="dxa"/>
              <w:right w:w="110" w:type="dxa"/>
            </w:tcMar>
            <w:shd w:fill="FFFFFF"/>
          </w:tcPr>
          <w:p>
            <w:pPr>
              <w:spacing w:after="0" w:line="259" w:lineRule="auto"/>
            </w:pPr>
            <w:r>
              <w:rPr>
                <w:b w:val="0"/>
                <w:color w:val="000000"/>
                <w:sz w:val="18"/>
              </w:rPr>
              <w:t>Medium  W07 Operations</w:t>
            </w:r>
          </w:p>
        </w:tc>
        <w:tc>
          <w:tcPr>
            <w:tcW w:type="dxa" w:w="4392"/>
            <w:vAlign w:val="center"/>
            <w:tcMar>
              <w:top w:w="95" w:type="dxa"/>
              <w:bottom w:w="95" w:type="dxa"/>
              <w:left w:w="110" w:type="dxa"/>
              <w:right w:w="110" w:type="dxa"/>
            </w:tcMar>
            <w:shd w:fill="FFFFFF"/>
          </w:tcPr>
          <w:p>
            <w:pPr>
              <w:spacing w:after="0" w:line="259" w:lineRule="auto"/>
            </w:pPr>
            <w:r>
              <w:rPr>
                <w:b w:val="0"/>
                <w:color w:val="000000"/>
                <w:sz w:val="18"/>
              </w:rPr>
              <w:t>Validate matching edge/API revisions, TLS, restricted service ports, backups, health, alerting, capacity and rollback.</w:t>
            </w:r>
          </w:p>
        </w:tc>
        <w:tc>
          <w:tcPr>
            <w:tcW w:type="dxa" w:w="3571"/>
            <w:vAlign w:val="center"/>
            <w:tcMar>
              <w:top w:w="95" w:type="dxa"/>
              <w:bottom w:w="95" w:type="dxa"/>
              <w:left w:w="110" w:type="dxa"/>
              <w:right w:w="110" w:type="dxa"/>
            </w:tcMar>
            <w:shd w:fill="FFFFFF"/>
          </w:tcPr>
          <w:p>
            <w:pPr>
              <w:spacing w:after="0" w:line="259" w:lineRule="auto"/>
            </w:pPr>
            <w:r>
              <w:rPr>
                <w:b w:val="0"/>
                <w:color w:val="000000"/>
                <w:sz w:val="18"/>
              </w:rPr>
              <w:t>Staging rollout plus rollback rehearsal; load report with capacity limits.</w:t>
            </w:r>
          </w:p>
        </w:tc>
      </w:tr>
      <w:tr>
        <w:trPr>
          <w:cantSplit/>
        </w:trPr>
        <w:tc>
          <w:tcPr>
            <w:tcW w:type="dxa" w:w="1872"/>
            <w:vAlign w:val="center"/>
            <w:tcMar>
              <w:top w:w="95" w:type="dxa"/>
              <w:bottom w:w="95" w:type="dxa"/>
              <w:left w:w="110" w:type="dxa"/>
              <w:right w:w="110" w:type="dxa"/>
            </w:tcMar>
            <w:shd w:fill="F5F7FA"/>
          </w:tcPr>
          <w:p>
            <w:pPr>
              <w:spacing w:after="0" w:line="259" w:lineRule="auto"/>
            </w:pPr>
            <w:r>
              <w:rPr>
                <w:b w:val="0"/>
                <w:color w:val="000000"/>
                <w:sz w:val="18"/>
              </w:rPr>
              <w:t>Low  W08 Maintainability</w:t>
            </w:r>
          </w:p>
        </w:tc>
        <w:tc>
          <w:tcPr>
            <w:tcW w:type="dxa" w:w="4392"/>
            <w:vAlign w:val="center"/>
            <w:tcMar>
              <w:top w:w="95" w:type="dxa"/>
              <w:bottom w:w="95" w:type="dxa"/>
              <w:left w:w="110" w:type="dxa"/>
              <w:right w:w="110" w:type="dxa"/>
            </w:tcMar>
            <w:shd w:fill="F5F7FA"/>
          </w:tcPr>
          <w:p>
            <w:pPr>
              <w:spacing w:after="0" w:line="259" w:lineRule="auto"/>
            </w:pPr>
            <w:r>
              <w:rPr>
                <w:b w:val="0"/>
                <w:color w:val="000000"/>
                <w:sz w:val="18"/>
              </w:rPr>
              <w:t>Remove confirmed dead imports/config only; strengthen feature docs, dependency boundaries, tests, error redaction and listener ownership.</w:t>
            </w:r>
          </w:p>
        </w:tc>
        <w:tc>
          <w:tcPr>
            <w:tcW w:type="dxa" w:w="3571"/>
            <w:vAlign w:val="center"/>
            <w:tcMar>
              <w:top w:w="95" w:type="dxa"/>
              <w:bottom w:w="95" w:type="dxa"/>
              <w:left w:w="110" w:type="dxa"/>
              <w:right w:w="110" w:type="dxa"/>
            </w:tcMar>
            <w:shd w:fill="F5F7FA"/>
          </w:tcPr>
          <w:p>
            <w:pPr>
              <w:spacing w:after="0" w:line="259" w:lineRule="auto"/>
            </w:pPr>
            <w:r>
              <w:rPr>
                <w:b w:val="0"/>
                <w:color w:val="000000"/>
                <w:sz w:val="18"/>
              </w:rPr>
              <w:t>Small reviewable changes with regression coverage and updated feature guides.</w:t>
            </w:r>
          </w:p>
        </w:tc>
      </w:tr>
    </w:tbl>
    <w:p>
      <w:pPr>
        <w:spacing w:after="20"/>
      </w:pPr>
      <w:r/>
    </w:p>
    <w:p>
      <w:r>
        <w:t>Severity policy: a reproducible security exposure, wrong-tenant action, incorrect charge or broken core call path blocks release. Medium issues have a material impact without that exposure. Low issues are cleanup without demonstrated critical user impact. Reclassify based on evidence, not a historical bug number.</w:t>
      </w:r>
    </w:p>
    <w:p>
      <w:pPr>
        <w:pStyle w:val="Heading1"/>
        <w:pageBreakBefore/>
      </w:pPr>
      <w:r>
        <w:t>7 Proposed Acceptance Criteria</w:t>
      </w:r>
    </w:p>
    <w:p>
      <w:r>
        <w:t>Agree these provisional targets at kickoff. Measure on a declared device/browser matrix, controlled Wi-Fi and cellular networks, and a pinned environment. Report the sample count, failure count and p50/p95 timings. Carrier and mobile OS constraints must be recorded, not hidden by averaging.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41"/>
        <w:gridCol w:w="4882"/>
        <w:gridCol w:w="3413"/>
      </w:tblGrid>
      <w:tr>
        <w:trPr>
          <w:cantSplit/>
          <w:tblHeader/>
        </w:trPr>
        <w:tc>
          <w:tcPr>
            <w:tcW w:type="dxa" w:w="1541"/>
            <w:vAlign w:val="center"/>
            <w:tcMar>
              <w:top w:w="95" w:type="dxa"/>
              <w:bottom w:w="95" w:type="dxa"/>
              <w:left w:w="110" w:type="dxa"/>
              <w:right w:w="110" w:type="dxa"/>
            </w:tcMar>
            <w:shd w:fill="DCEAF5"/>
          </w:tcPr>
          <w:p>
            <w:pPr>
              <w:spacing w:after="0" w:line="259" w:lineRule="auto"/>
            </w:pPr>
            <w:r>
              <w:rPr>
                <w:b/>
                <w:color w:val="000000"/>
                <w:sz w:val="18"/>
              </w:rPr>
              <w:t>Gate</w:t>
            </w:r>
          </w:p>
        </w:tc>
        <w:tc>
          <w:tcPr>
            <w:tcW w:type="dxa" w:w="4882"/>
            <w:vAlign w:val="center"/>
            <w:tcMar>
              <w:top w:w="95" w:type="dxa"/>
              <w:bottom w:w="95" w:type="dxa"/>
              <w:left w:w="110" w:type="dxa"/>
              <w:right w:w="110" w:type="dxa"/>
            </w:tcMar>
            <w:shd w:fill="DCEAF5"/>
          </w:tcPr>
          <w:p>
            <w:pPr>
              <w:spacing w:after="0" w:line="259" w:lineRule="auto"/>
            </w:pPr>
            <w:r>
              <w:rPr>
                <w:b/>
                <w:color w:val="000000"/>
                <w:sz w:val="18"/>
              </w:rPr>
              <w:t>Required result</w:t>
            </w:r>
          </w:p>
        </w:tc>
        <w:tc>
          <w:tcPr>
            <w:tcW w:type="dxa" w:w="3413"/>
            <w:vAlign w:val="center"/>
            <w:tcMar>
              <w:top w:w="95" w:type="dxa"/>
              <w:bottom w:w="95" w:type="dxa"/>
              <w:left w:w="110" w:type="dxa"/>
              <w:right w:w="110" w:type="dxa"/>
            </w:tcMar>
            <w:shd w:fill="DCEAF5"/>
          </w:tcPr>
          <w:p>
            <w:pPr>
              <w:spacing w:after="0" w:line="259" w:lineRule="auto"/>
            </w:pPr>
            <w:r>
              <w:rPr>
                <w:b/>
                <w:color w:val="000000"/>
                <w:sz w:val="18"/>
              </w:rPr>
              <w:t>Evidence</w:t>
            </w:r>
          </w:p>
        </w:tc>
      </w:tr>
      <w:tr>
        <w:trPr>
          <w:cantSplit/>
        </w:trPr>
        <w:tc>
          <w:tcPr>
            <w:tcW w:type="dxa" w:w="1541"/>
            <w:vAlign w:val="center"/>
            <w:tcMar>
              <w:top w:w="95" w:type="dxa"/>
              <w:bottom w:w="95" w:type="dxa"/>
              <w:left w:w="110" w:type="dxa"/>
              <w:right w:w="110" w:type="dxa"/>
            </w:tcMar>
            <w:shd w:fill="FFFFFF"/>
          </w:tcPr>
          <w:p>
            <w:pPr>
              <w:spacing w:after="0" w:line="259" w:lineRule="auto"/>
            </w:pPr>
            <w:r>
              <w:rPr>
                <w:b w:val="0"/>
                <w:color w:val="000000"/>
                <w:sz w:val="18"/>
              </w:rPr>
              <w:t>A01 Tenant security</w:t>
            </w:r>
          </w:p>
        </w:tc>
        <w:tc>
          <w:tcPr>
            <w:tcW w:type="dxa" w:w="4882"/>
            <w:vAlign w:val="center"/>
            <w:tcMar>
              <w:top w:w="95" w:type="dxa"/>
              <w:bottom w:w="95" w:type="dxa"/>
              <w:left w:w="110" w:type="dxa"/>
              <w:right w:w="110" w:type="dxa"/>
            </w:tcMar>
            <w:shd w:fill="FFFFFF"/>
          </w:tcPr>
          <w:p>
            <w:pPr>
              <w:spacing w:after="0" w:line="259" w:lineRule="auto"/>
            </w:pPr>
            <w:r>
              <w:rPr>
                <w:b w:val="0"/>
                <w:color w:val="000000"/>
                <w:sz w:val="18"/>
              </w:rPr>
              <w:t>Company A cannot read, modify, call as or subscribe to Company B resources. Platform operations require platform authority. Invalid identity/replay fails closed.</w:t>
            </w:r>
          </w:p>
        </w:tc>
        <w:tc>
          <w:tcPr>
            <w:tcW w:type="dxa" w:w="3413"/>
            <w:vAlign w:val="center"/>
            <w:tcMar>
              <w:top w:w="95" w:type="dxa"/>
              <w:bottom w:w="95" w:type="dxa"/>
              <w:left w:w="110" w:type="dxa"/>
              <w:right w:w="110" w:type="dxa"/>
            </w:tcMar>
            <w:shd w:fill="FFFFFF"/>
          </w:tcPr>
          <w:p>
            <w:pPr>
              <w:spacing w:after="0" w:line="259" w:lineRule="auto"/>
            </w:pPr>
            <w:r>
              <w:rPr>
                <w:b w:val="0"/>
                <w:color w:val="000000"/>
                <w:sz w:val="18"/>
              </w:rPr>
              <w:t>Two-tenant API/DB/SIP negative tests; sanitized request and policy results.</w:t>
            </w:r>
          </w:p>
        </w:tc>
      </w:tr>
      <w:tr>
        <w:trPr>
          <w:cantSplit/>
        </w:trPr>
        <w:tc>
          <w:tcPr>
            <w:tcW w:type="dxa" w:w="1541"/>
            <w:vAlign w:val="center"/>
            <w:tcMar>
              <w:top w:w="95" w:type="dxa"/>
              <w:bottom w:w="95" w:type="dxa"/>
              <w:left w:w="110" w:type="dxa"/>
              <w:right w:w="110" w:type="dxa"/>
            </w:tcMar>
            <w:shd w:fill="F5F7FA"/>
          </w:tcPr>
          <w:p>
            <w:pPr>
              <w:spacing w:after="0" w:line="259" w:lineRule="auto"/>
            </w:pPr>
            <w:r>
              <w:rPr>
                <w:b w:val="0"/>
                <w:color w:val="000000"/>
                <w:sz w:val="18"/>
              </w:rPr>
              <w:t>A02 Call initiation</w:t>
            </w:r>
          </w:p>
        </w:tc>
        <w:tc>
          <w:tcPr>
            <w:tcW w:type="dxa" w:w="4882"/>
            <w:vAlign w:val="center"/>
            <w:tcMar>
              <w:top w:w="95" w:type="dxa"/>
              <w:bottom w:w="95" w:type="dxa"/>
              <w:left w:w="110" w:type="dxa"/>
              <w:right w:w="110" w:type="dxa"/>
            </w:tcMar>
            <w:shd w:fill="F5F7FA"/>
          </w:tcPr>
          <w:p>
            <w:pPr>
              <w:spacing w:after="0" w:line="259" w:lineRule="auto"/>
            </w:pPr>
            <w:r>
              <w:rPr>
                <w:b w:val="0"/>
                <w:color w:val="000000"/>
                <w:sz w:val="18"/>
              </w:rPr>
              <w:t>Visible feedback within 200 ms of a valid tap; one request/call despite repeated taps. No silent indefinite Connecting state.</w:t>
            </w:r>
          </w:p>
        </w:tc>
        <w:tc>
          <w:tcPr>
            <w:tcW w:type="dxa" w:w="3413"/>
            <w:vAlign w:val="center"/>
            <w:tcMar>
              <w:top w:w="95" w:type="dxa"/>
              <w:bottom w:w="95" w:type="dxa"/>
              <w:left w:w="110" w:type="dxa"/>
              <w:right w:w="110" w:type="dxa"/>
            </w:tcMar>
            <w:shd w:fill="F5F7FA"/>
          </w:tcPr>
          <w:p>
            <w:pPr>
              <w:spacing w:after="0" w:line="259" w:lineRule="auto"/>
            </w:pPr>
            <w:r>
              <w:rPr>
                <w:b w:val="0"/>
                <w:color w:val="000000"/>
                <w:sz w:val="18"/>
              </w:rPr>
              <w:t>UI timing and idempotency assertions; registration timeout/retry trace.</w:t>
            </w:r>
          </w:p>
        </w:tc>
      </w:tr>
      <w:tr>
        <w:trPr>
          <w:cantSplit/>
        </w:trPr>
        <w:tc>
          <w:tcPr>
            <w:tcW w:type="dxa" w:w="1541"/>
            <w:vAlign w:val="center"/>
            <w:tcMar>
              <w:top w:w="95" w:type="dxa"/>
              <w:bottom w:w="95" w:type="dxa"/>
              <w:left w:w="110" w:type="dxa"/>
              <w:right w:w="110" w:type="dxa"/>
            </w:tcMar>
            <w:shd w:fill="FFFFFF"/>
          </w:tcPr>
          <w:p>
            <w:pPr>
              <w:spacing w:after="0" w:line="259" w:lineRule="auto"/>
            </w:pPr>
            <w:r>
              <w:rPr>
                <w:b w:val="0"/>
                <w:color w:val="000000"/>
                <w:sz w:val="18"/>
              </w:rPr>
              <w:t>A03 Ring and answer</w:t>
            </w:r>
          </w:p>
        </w:tc>
        <w:tc>
          <w:tcPr>
            <w:tcW w:type="dxa" w:w="4882"/>
            <w:vAlign w:val="center"/>
            <w:tcMar>
              <w:top w:w="95" w:type="dxa"/>
              <w:bottom w:w="95" w:type="dxa"/>
              <w:left w:w="110" w:type="dxa"/>
              <w:right w:w="110" w:type="dxa"/>
            </w:tcMar>
            <w:shd w:fill="FFFFFF"/>
          </w:tcPr>
          <w:p>
            <w:pPr>
              <w:spacing w:after="0" w:line="259" w:lineRule="auto"/>
            </w:pPr>
            <w:r>
              <w:rPr>
                <w:b w:val="0"/>
                <w:color w:val="000000"/>
                <w:sz w:val="18"/>
              </w:rPr>
              <w:t>Each eligible device receives the same call. Exactly one winning answer. No completed native Answer before matching invitation acceptance.</w:t>
            </w:r>
          </w:p>
        </w:tc>
        <w:tc>
          <w:tcPr>
            <w:tcW w:type="dxa" w:w="3413"/>
            <w:vAlign w:val="center"/>
            <w:tcMar>
              <w:top w:w="95" w:type="dxa"/>
              <w:bottom w:w="95" w:type="dxa"/>
              <w:left w:w="110" w:type="dxa"/>
              <w:right w:w="110" w:type="dxa"/>
            </w:tcMar>
            <w:shd w:fill="FFFFFF"/>
          </w:tcPr>
          <w:p>
            <w:pPr>
              <w:spacing w:after="0" w:line="259" w:lineRule="auto"/>
            </w:pPr>
            <w:r>
              <w:rPr>
                <w:b w:val="0"/>
                <w:color w:val="000000"/>
                <w:sz w:val="18"/>
              </w:rPr>
              <w:t>At least 30 trials per agreed route/lifecycle combination; report all failures.</w:t>
            </w:r>
          </w:p>
        </w:tc>
      </w:tr>
      <w:tr>
        <w:trPr>
          <w:cantSplit/>
        </w:trPr>
        <w:tc>
          <w:tcPr>
            <w:tcW w:type="dxa" w:w="1541"/>
            <w:vAlign w:val="center"/>
            <w:tcMar>
              <w:top w:w="95" w:type="dxa"/>
              <w:bottom w:w="95" w:type="dxa"/>
              <w:left w:w="110" w:type="dxa"/>
              <w:right w:w="110" w:type="dxa"/>
            </w:tcMar>
            <w:shd w:fill="F5F7FA"/>
          </w:tcPr>
          <w:p>
            <w:pPr>
              <w:spacing w:after="0" w:line="259" w:lineRule="auto"/>
            </w:pPr>
            <w:r>
              <w:rPr>
                <w:b w:val="0"/>
                <w:color w:val="000000"/>
                <w:sz w:val="18"/>
              </w:rPr>
              <w:t>A04 Two way audio</w:t>
            </w:r>
          </w:p>
        </w:tc>
        <w:tc>
          <w:tcPr>
            <w:tcW w:type="dxa" w:w="4882"/>
            <w:vAlign w:val="center"/>
            <w:tcMar>
              <w:top w:w="95" w:type="dxa"/>
              <w:bottom w:w="95" w:type="dxa"/>
              <w:left w:w="110" w:type="dxa"/>
              <w:right w:w="110" w:type="dxa"/>
            </w:tcMar>
            <w:shd w:fill="F5F7FA"/>
          </w:tcPr>
          <w:p>
            <w:pPr>
              <w:spacing w:after="0" w:line="259" w:lineRule="auto"/>
            </w:pPr>
            <w:r>
              <w:rPr>
                <w:b w:val="0"/>
                <w:color w:val="000000"/>
                <w:sz w:val="18"/>
              </w:rPr>
              <w:t>Provisional target: p95 audible two-way media within 2 seconds of answer on healthy test networks. No sustained one-way audio, feedback tone or distortion.</w:t>
            </w:r>
          </w:p>
        </w:tc>
        <w:tc>
          <w:tcPr>
            <w:tcW w:type="dxa" w:w="3413"/>
            <w:vAlign w:val="center"/>
            <w:tcMar>
              <w:top w:w="95" w:type="dxa"/>
              <w:bottom w:w="95" w:type="dxa"/>
              <w:left w:w="110" w:type="dxa"/>
              <w:right w:w="110" w:type="dxa"/>
            </w:tcMar>
            <w:shd w:fill="F5F7FA"/>
          </w:tcPr>
          <w:p>
            <w:pPr>
              <w:spacing w:after="0" w:line="259" w:lineRule="auto"/>
            </w:pPr>
            <w:r>
              <w:rPr>
                <w:b w:val="0"/>
                <w:color w:val="000000"/>
                <w:sz w:val="18"/>
              </w:rPr>
              <w:t>Timed audio probes, RTP/WebRTC stats and human listening on physical devices.</w:t>
            </w:r>
          </w:p>
        </w:tc>
      </w:tr>
      <w:tr>
        <w:trPr>
          <w:cantSplit/>
        </w:trPr>
        <w:tc>
          <w:tcPr>
            <w:tcW w:type="dxa" w:w="1541"/>
            <w:vAlign w:val="center"/>
            <w:tcMar>
              <w:top w:w="95" w:type="dxa"/>
              <w:bottom w:w="95" w:type="dxa"/>
              <w:left w:w="110" w:type="dxa"/>
              <w:right w:w="110" w:type="dxa"/>
            </w:tcMar>
            <w:shd w:fill="FFFFFF"/>
          </w:tcPr>
          <w:p>
            <w:pPr>
              <w:spacing w:after="0" w:line="259" w:lineRule="auto"/>
            </w:pPr>
            <w:r>
              <w:rPr>
                <w:b w:val="0"/>
                <w:color w:val="000000"/>
                <w:sz w:val="18"/>
              </w:rPr>
              <w:t>A05 Cancellation</w:t>
            </w:r>
          </w:p>
        </w:tc>
        <w:tc>
          <w:tcPr>
            <w:tcW w:type="dxa" w:w="4882"/>
            <w:vAlign w:val="center"/>
            <w:tcMar>
              <w:top w:w="95" w:type="dxa"/>
              <w:bottom w:w="95" w:type="dxa"/>
              <w:left w:w="110" w:type="dxa"/>
              <w:right w:w="110" w:type="dxa"/>
            </w:tcMar>
            <w:shd w:fill="FFFFFF"/>
          </w:tcPr>
          <w:p>
            <w:pPr>
              <w:spacing w:after="0" w:line="259" w:lineRule="auto"/>
            </w:pPr>
            <w:r>
              <w:rPr>
                <w:b w:val="0"/>
                <w:color w:val="000000"/>
                <w:sz w:val="18"/>
              </w:rPr>
              <w:t>Healthy-link cancellation/remote hangup removes ringing and active UI within 2 seconds. Network-loss cleanup obeys a documented bounded timeout.</w:t>
            </w:r>
          </w:p>
        </w:tc>
        <w:tc>
          <w:tcPr>
            <w:tcW w:type="dxa" w:w="3413"/>
            <w:vAlign w:val="center"/>
            <w:tcMar>
              <w:top w:w="95" w:type="dxa"/>
              <w:bottom w:w="95" w:type="dxa"/>
              <w:left w:w="110" w:type="dxa"/>
              <w:right w:w="110" w:type="dxa"/>
            </w:tcMar>
            <w:shd w:fill="FFFFFF"/>
          </w:tcPr>
          <w:p>
            <w:pPr>
              <w:spacing w:after="0" w:line="259" w:lineRule="auto"/>
            </w:pPr>
            <w:r>
              <w:rPr>
                <w:b w:val="0"/>
                <w:color w:val="000000"/>
                <w:sz w:val="18"/>
              </w:rPr>
              <w:t>Caller/callee recordings; no surviving timer, microphone or call object.</w:t>
            </w:r>
          </w:p>
        </w:tc>
      </w:tr>
      <w:tr>
        <w:trPr>
          <w:cantSplit/>
        </w:trPr>
        <w:tc>
          <w:tcPr>
            <w:tcW w:type="dxa" w:w="1541"/>
            <w:vAlign w:val="center"/>
            <w:tcMar>
              <w:top w:w="95" w:type="dxa"/>
              <w:bottom w:w="95" w:type="dxa"/>
              <w:left w:w="110" w:type="dxa"/>
              <w:right w:w="110" w:type="dxa"/>
            </w:tcMar>
            <w:shd w:fill="F5F7FA"/>
          </w:tcPr>
          <w:p>
            <w:pPr>
              <w:spacing w:after="0" w:line="259" w:lineRule="auto"/>
            </w:pPr>
            <w:r>
              <w:rPr>
                <w:b w:val="0"/>
                <w:color w:val="000000"/>
                <w:sz w:val="18"/>
              </w:rPr>
              <w:t>A06 State and timer</w:t>
            </w:r>
          </w:p>
        </w:tc>
        <w:tc>
          <w:tcPr>
            <w:tcW w:type="dxa" w:w="4882"/>
            <w:vAlign w:val="center"/>
            <w:tcMar>
              <w:top w:w="95" w:type="dxa"/>
              <w:bottom w:w="95" w:type="dxa"/>
              <w:left w:w="110" w:type="dxa"/>
              <w:right w:w="110" w:type="dxa"/>
            </w:tcMar>
            <w:shd w:fill="F5F7FA"/>
          </w:tcPr>
          <w:p>
            <w:pPr>
              <w:spacing w:after="0" w:line="259" w:lineRule="auto"/>
            </w:pPr>
            <w:r>
              <w:rPr>
                <w:b w:val="0"/>
                <w:color w:val="000000"/>
                <w:sz w:val="18"/>
              </w:rPr>
              <w:t>No pre-answer 00:00 timer. Duration starts from the authoritative established event and cannot regress to ringing. Audio readiness remains separately measured.</w:t>
            </w:r>
          </w:p>
        </w:tc>
        <w:tc>
          <w:tcPr>
            <w:tcW w:type="dxa" w:w="3413"/>
            <w:vAlign w:val="center"/>
            <w:tcMar>
              <w:top w:w="95" w:type="dxa"/>
              <w:bottom w:w="95" w:type="dxa"/>
              <w:left w:w="110" w:type="dxa"/>
              <w:right w:w="110" w:type="dxa"/>
            </w:tcMar>
            <w:shd w:fill="F5F7FA"/>
          </w:tcPr>
          <w:p>
            <w:pPr>
              <w:spacing w:after="0" w:line="259" w:lineRule="auto"/>
            </w:pPr>
            <w:r>
              <w:rPr>
                <w:b w:val="0"/>
                <w:color w:val="000000"/>
                <w:sz w:val="18"/>
              </w:rPr>
              <w:t>Race tests and timestamp comparison on both endpoints.</w:t>
            </w:r>
          </w:p>
        </w:tc>
      </w:tr>
      <w:tr>
        <w:trPr>
          <w:cantSplit/>
        </w:trPr>
        <w:tc>
          <w:tcPr>
            <w:tcW w:type="dxa" w:w="1541"/>
            <w:vAlign w:val="center"/>
            <w:tcMar>
              <w:top w:w="95" w:type="dxa"/>
              <w:bottom w:w="95" w:type="dxa"/>
              <w:left w:w="110" w:type="dxa"/>
              <w:right w:w="110" w:type="dxa"/>
            </w:tcMar>
            <w:shd w:fill="FFFFFF"/>
          </w:tcPr>
          <w:p>
            <w:pPr>
              <w:spacing w:after="0" w:line="259" w:lineRule="auto"/>
            </w:pPr>
            <w:r>
              <w:rPr>
                <w:b w:val="0"/>
                <w:color w:val="000000"/>
                <w:sz w:val="18"/>
              </w:rPr>
              <w:t>A07 Unanswered and AI</w:t>
            </w:r>
          </w:p>
        </w:tc>
        <w:tc>
          <w:tcPr>
            <w:tcW w:type="dxa" w:w="4882"/>
            <w:vAlign w:val="center"/>
            <w:tcMar>
              <w:top w:w="95" w:type="dxa"/>
              <w:bottom w:w="95" w:type="dxa"/>
              <w:left w:w="110" w:type="dxa"/>
              <w:right w:w="110" w:type="dxa"/>
            </w:tcMar>
            <w:shd w:fill="FFFFFF"/>
          </w:tcPr>
          <w:p>
            <w:pPr>
              <w:spacing w:after="0" w:line="259" w:lineRule="auto"/>
            </w:pPr>
            <w:r>
              <w:rPr>
                <w:b w:val="0"/>
                <w:color w:val="000000"/>
                <w:sz w:val="18"/>
              </w:rPr>
              <w:t>Configured no-answer behavior is observed. No unexplained 5-8 second exit. A failed AI transfer returns to a valid fallback; a 10-minute active conversation does not end due to a fixed turn budget.</w:t>
            </w:r>
          </w:p>
        </w:tc>
        <w:tc>
          <w:tcPr>
            <w:tcW w:type="dxa" w:w="3413"/>
            <w:vAlign w:val="center"/>
            <w:tcMar>
              <w:top w:w="95" w:type="dxa"/>
              <w:bottom w:w="95" w:type="dxa"/>
              <w:left w:w="110" w:type="dxa"/>
              <w:right w:w="110" w:type="dxa"/>
            </w:tcMar>
            <w:shd w:fill="FFFFFF"/>
          </w:tcPr>
          <w:p>
            <w:pPr>
              <w:spacing w:after="0" w:line="259" w:lineRule="auto"/>
            </w:pPr>
            <w:r>
              <w:rPr>
                <w:b w:val="0"/>
                <w:color w:val="000000"/>
                <w:sz w:val="18"/>
              </w:rPr>
              <w:t>SIP hangup cause, playback events, transfer target and conversation stage timings.</w:t>
            </w:r>
          </w:p>
        </w:tc>
      </w:tr>
      <w:tr>
        <w:trPr>
          <w:cantSplit/>
        </w:trPr>
        <w:tc>
          <w:tcPr>
            <w:tcW w:type="dxa" w:w="1541"/>
            <w:vAlign w:val="center"/>
            <w:tcMar>
              <w:top w:w="95" w:type="dxa"/>
              <w:bottom w:w="95" w:type="dxa"/>
              <w:left w:w="110" w:type="dxa"/>
              <w:right w:w="110" w:type="dxa"/>
            </w:tcMar>
            <w:shd w:fill="F5F7FA"/>
          </w:tcPr>
          <w:p>
            <w:pPr>
              <w:spacing w:after="0" w:line="259" w:lineRule="auto"/>
            </w:pPr>
            <w:r>
              <w:rPr>
                <w:b w:val="0"/>
                <w:color w:val="000000"/>
                <w:sz w:val="18"/>
              </w:rPr>
              <w:t>A08 Network recovery</w:t>
            </w:r>
          </w:p>
        </w:tc>
        <w:tc>
          <w:tcPr>
            <w:tcW w:type="dxa" w:w="4882"/>
            <w:vAlign w:val="center"/>
            <w:tcMar>
              <w:top w:w="95" w:type="dxa"/>
              <w:bottom w:w="95" w:type="dxa"/>
              <w:left w:w="110" w:type="dxa"/>
              <w:right w:w="110" w:type="dxa"/>
            </w:tcMar>
            <w:shd w:fill="F5F7FA"/>
          </w:tcPr>
          <w:p>
            <w:pPr>
              <w:spacing w:after="0" w:line="259" w:lineRule="auto"/>
            </w:pPr>
            <w:r>
              <w:rPr>
                <w:b w:val="0"/>
                <w:color w:val="000000"/>
                <w:sz w:val="18"/>
              </w:rPr>
              <w:t>Wi-Fi/cellular migration either restores two-way media within the agreed bound or ends cleanly with a useful message. Internet availability is distinguished from SIP registration.</w:t>
            </w:r>
          </w:p>
        </w:tc>
        <w:tc>
          <w:tcPr>
            <w:tcW w:type="dxa" w:w="3413"/>
            <w:vAlign w:val="center"/>
            <w:tcMar>
              <w:top w:w="95" w:type="dxa"/>
              <w:bottom w:w="95" w:type="dxa"/>
              <w:left w:w="110" w:type="dxa"/>
              <w:right w:w="110" w:type="dxa"/>
            </w:tcMar>
            <w:shd w:fill="F5F7FA"/>
          </w:tcPr>
          <w:p>
            <w:pPr>
              <w:spacing w:after="0" w:line="259" w:lineRule="auto"/>
            </w:pPr>
            <w:r>
              <w:rPr>
                <w:b w:val="0"/>
                <w:color w:val="000000"/>
                <w:sz w:val="18"/>
              </w:rPr>
              <w:t>ICE/re-INVITE trace, connectivity events and resource cleanup assertions.</w:t>
            </w:r>
          </w:p>
        </w:tc>
      </w:tr>
      <w:tr>
        <w:trPr>
          <w:cantSplit/>
        </w:trPr>
        <w:tc>
          <w:tcPr>
            <w:tcW w:type="dxa" w:w="1541"/>
            <w:vAlign w:val="center"/>
            <w:tcMar>
              <w:top w:w="95" w:type="dxa"/>
              <w:bottom w:w="95" w:type="dxa"/>
              <w:left w:w="110" w:type="dxa"/>
              <w:right w:w="110" w:type="dxa"/>
            </w:tcMar>
            <w:shd w:fill="FFFFFF"/>
          </w:tcPr>
          <w:p>
            <w:pPr>
              <w:spacing w:after="0" w:line="259" w:lineRule="auto"/>
            </w:pPr>
            <w:r>
              <w:rPr>
                <w:b w:val="0"/>
                <w:color w:val="000000"/>
                <w:sz w:val="18"/>
              </w:rPr>
              <w:t>A09 Billing and history</w:t>
            </w:r>
          </w:p>
        </w:tc>
        <w:tc>
          <w:tcPr>
            <w:tcW w:type="dxa" w:w="4882"/>
            <w:vAlign w:val="center"/>
            <w:tcMar>
              <w:top w:w="95" w:type="dxa"/>
              <w:bottom w:w="95" w:type="dxa"/>
              <w:left w:w="110" w:type="dxa"/>
              <w:right w:w="110" w:type="dxa"/>
            </w:tcMar>
            <w:shd w:fill="FFFFFF"/>
          </w:tcPr>
          <w:p>
            <w:pPr>
              <w:spacing w:after="0" w:line="259" w:lineRule="auto"/>
            </w:pPr>
            <w:r>
              <w:rPr>
                <w:b w:val="0"/>
                <w:color w:val="000000"/>
                <w:sz w:val="18"/>
              </w:rPr>
              <w:t>Internal SIP calls do not debit customer credit or invoke a paid fallback. External usage reconciles; duplicate delivery cannot double debit or overwrite terminal state.</w:t>
            </w:r>
          </w:p>
        </w:tc>
        <w:tc>
          <w:tcPr>
            <w:tcW w:type="dxa" w:w="3413"/>
            <w:vAlign w:val="center"/>
            <w:tcMar>
              <w:top w:w="95" w:type="dxa"/>
              <w:bottom w:w="95" w:type="dxa"/>
              <w:left w:w="110" w:type="dxa"/>
              <w:right w:w="110" w:type="dxa"/>
            </w:tcMar>
            <w:shd w:fill="FFFFFF"/>
          </w:tcPr>
          <w:p>
            <w:pPr>
              <w:spacing w:after="0" w:line="259" w:lineRule="auto"/>
            </w:pPr>
            <w:r>
              <w:rPr>
                <w:b w:val="0"/>
                <w:color w:val="000000"/>
                <w:sz w:val="18"/>
              </w:rPr>
              <w:t>Ledger/CDR reconciliation, duplicate and concurrent callback tests.</w:t>
            </w:r>
          </w:p>
        </w:tc>
      </w:tr>
      <w:tr>
        <w:trPr>
          <w:cantSplit/>
        </w:trPr>
        <w:tc>
          <w:tcPr>
            <w:tcW w:type="dxa" w:w="1541"/>
            <w:vAlign w:val="center"/>
            <w:tcMar>
              <w:top w:w="95" w:type="dxa"/>
              <w:bottom w:w="95" w:type="dxa"/>
              <w:left w:w="110" w:type="dxa"/>
              <w:right w:w="110" w:type="dxa"/>
            </w:tcMar>
            <w:shd w:fill="F5F7FA"/>
          </w:tcPr>
          <w:p>
            <w:pPr>
              <w:spacing w:after="0" w:line="259" w:lineRule="auto"/>
            </w:pPr>
            <w:r>
              <w:rPr>
                <w:b w:val="0"/>
                <w:color w:val="000000"/>
                <w:sz w:val="18"/>
              </w:rPr>
              <w:t>A10 Release quality</w:t>
            </w:r>
          </w:p>
        </w:tc>
        <w:tc>
          <w:tcPr>
            <w:tcW w:type="dxa" w:w="4882"/>
            <w:vAlign w:val="center"/>
            <w:tcMar>
              <w:top w:w="95" w:type="dxa"/>
              <w:bottom w:w="95" w:type="dxa"/>
              <w:left w:w="110" w:type="dxa"/>
              <w:right w:w="110" w:type="dxa"/>
            </w:tcMar>
            <w:shd w:fill="F5F7FA"/>
          </w:tcPr>
          <w:p>
            <w:pPr>
              <w:spacing w:after="0" w:line="259" w:lineRule="auto"/>
            </w:pPr>
            <w:r>
              <w:rPr>
                <w:b w:val="0"/>
                <w:color w:val="000000"/>
                <w:sz w:val="18"/>
              </w:rPr>
              <w:t>All relevant suites/builds pass; no unresolved high-severity defect; supported features pass device/browser acceptance; rollback succeeds.</w:t>
            </w:r>
          </w:p>
        </w:tc>
        <w:tc>
          <w:tcPr>
            <w:tcW w:type="dxa" w:w="3413"/>
            <w:vAlign w:val="center"/>
            <w:tcMar>
              <w:top w:w="95" w:type="dxa"/>
              <w:bottom w:w="95" w:type="dxa"/>
              <w:left w:w="110" w:type="dxa"/>
              <w:right w:w="110" w:type="dxa"/>
            </w:tcMar>
            <w:shd w:fill="F5F7FA"/>
          </w:tcPr>
          <w:p>
            <w:pPr>
              <w:spacing w:after="0" w:line="259" w:lineRule="auto"/>
            </w:pPr>
            <w:r>
              <w:rPr>
                <w:b w:val="0"/>
                <w:color w:val="000000"/>
                <w:sz w:val="18"/>
              </w:rPr>
              <w:t>Versioned test report, build artifacts and signed release checklist.</w:t>
            </w:r>
          </w:p>
        </w:tc>
      </w:tr>
    </w:tbl>
    <w:p>
      <w:pPr>
        <w:spacing w:after="20"/>
      </w:pPr>
      <w:r/>
    </w:p>
    <w:p>
      <w:pPr>
        <w:pStyle w:val="Heading1"/>
        <w:pageBreakBefore/>
      </w:pPr>
      <w:r>
        <w:t>8 Validation and Release Strategy</w:t>
      </w:r>
    </w:p>
    <w:p>
      <w:pPr>
        <w:pStyle w:val="Heading2"/>
      </w:pPr>
      <w:r>
        <w:t>Baseline and automated checks</w:t>
      </w:r>
    </w:p>
    <w:p>
      <w:r>
        <w:t>Create an issue register with reproduction steps, expected/actual behavior, severity, affected platform, active engine, timestamp and redacted call/route IDs. Pin the application, SIP configuration and native build revisions separately. Record existing failures before applying fixes; do not convert a failing gate into a pass by weakening its assertion.</w:t>
      </w:r>
    </w:p>
    <w:p>
      <w:pPr>
        <w:spacing w:after="80"/>
      </w:pPr>
      <w:r>
        <w:rPr>
          <w:rFonts w:ascii="Liberation Mono" w:hAnsi="Liberation Mono"/>
          <w:sz w:val="17"/>
        </w:rPr>
        <w:t>bash verify.sh</w:t>
      </w:r>
    </w:p>
    <w:p>
      <w:r>
        <w:t>The root script runs the frontend API typecheck, backend/web tests and Vite build, followed by mobile typechecking and unit/integration tests. It does not substitute for a native build, SIP parser, Python service tests, carrier audio test or live security review.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315"/>
      </w:tblGrid>
      <w:tr>
        <w:trPr>
          <w:cantSplit/>
          <w:tblHeader/>
        </w:trPr>
        <w:tc>
          <w:tcPr>
            <w:tcW w:type="dxa" w:w="2520"/>
            <w:vAlign w:val="center"/>
            <w:tcMar>
              <w:top w:w="95" w:type="dxa"/>
              <w:bottom w:w="95" w:type="dxa"/>
              <w:left w:w="110" w:type="dxa"/>
              <w:right w:w="110" w:type="dxa"/>
            </w:tcMar>
            <w:shd w:fill="DCEAF5"/>
          </w:tcPr>
          <w:p>
            <w:pPr>
              <w:spacing w:after="0" w:line="259" w:lineRule="auto"/>
            </w:pPr>
            <w:r>
              <w:rPr>
                <w:b/>
                <w:color w:val="000000"/>
                <w:sz w:val="19"/>
              </w:rPr>
              <w:t>Additional check</w:t>
            </w:r>
          </w:p>
        </w:tc>
        <w:tc>
          <w:tcPr>
            <w:tcW w:type="dxa" w:w="7315"/>
            <w:vAlign w:val="center"/>
            <w:tcMar>
              <w:top w:w="95" w:type="dxa"/>
              <w:bottom w:w="95" w:type="dxa"/>
              <w:left w:w="110" w:type="dxa"/>
              <w:right w:w="110" w:type="dxa"/>
            </w:tcMar>
            <w:shd w:fill="DCEAF5"/>
          </w:tcPr>
          <w:p>
            <w:pPr>
              <w:spacing w:after="0" w:line="259" w:lineRule="auto"/>
            </w:pPr>
            <w:r>
              <w:rPr>
                <w:b/>
                <w:color w:val="000000"/>
                <w:sz w:val="19"/>
              </w:rPr>
              <w:t>Existing location or command</w:t>
            </w:r>
          </w:p>
        </w:tc>
      </w:tr>
      <w:tr>
        <w:trPr>
          <w:cantSplit/>
        </w:trPr>
        <w:tc>
          <w:tcPr>
            <w:tcW w:type="dxa" w:w="2520"/>
            <w:vAlign w:val="center"/>
            <w:tcMar>
              <w:top w:w="95" w:type="dxa"/>
              <w:bottom w:w="95" w:type="dxa"/>
              <w:left w:w="110" w:type="dxa"/>
              <w:right w:w="110" w:type="dxa"/>
            </w:tcMar>
            <w:shd w:fill="FFFFFF"/>
          </w:tcPr>
          <w:p>
            <w:pPr>
              <w:spacing w:after="0" w:line="259" w:lineRule="auto"/>
            </w:pPr>
            <w:r>
              <w:rPr>
                <w:b w:val="0"/>
                <w:color w:val="000000"/>
                <w:sz w:val="19"/>
              </w:rPr>
              <w:t>Browser lifecycle and startup</w:t>
            </w:r>
          </w:p>
        </w:tc>
        <w:tc>
          <w:tcPr>
            <w:tcW w:type="dxa" w:w="7315"/>
            <w:vAlign w:val="center"/>
            <w:tcMar>
              <w:top w:w="95" w:type="dxa"/>
              <w:bottom w:w="95" w:type="dxa"/>
              <w:left w:w="110" w:type="dxa"/>
              <w:right w:w="110" w:type="dxa"/>
            </w:tcMar>
            <w:shd w:fill="FFFFFF"/>
          </w:tcPr>
          <w:p>
            <w:pPr>
              <w:spacing w:after="0" w:line="259" w:lineRule="auto"/>
            </w:pPr>
            <w:r>
              <w:rPr>
                <w:b w:val="0"/>
                <w:color w:val="000000"/>
                <w:sz w:val="19"/>
              </w:rPr>
              <w:t>frontend/scripts/test-sip-ui.mjs; test-web-startup.mjs; test-feature-pages.mjs</w:t>
            </w:r>
          </w:p>
        </w:tc>
      </w:tr>
      <w:tr>
        <w:trPr>
          <w:cantSplit/>
        </w:trPr>
        <w:tc>
          <w:tcPr>
            <w:tcW w:type="dxa" w:w="2520"/>
            <w:vAlign w:val="center"/>
            <w:tcMar>
              <w:top w:w="95" w:type="dxa"/>
              <w:bottom w:w="95" w:type="dxa"/>
              <w:left w:w="110" w:type="dxa"/>
              <w:right w:w="110" w:type="dxa"/>
            </w:tcMar>
            <w:shd w:fill="F5F7FA"/>
          </w:tcPr>
          <w:p>
            <w:pPr>
              <w:spacing w:after="0" w:line="259" w:lineRule="auto"/>
            </w:pPr>
            <w:r>
              <w:rPr>
                <w:b w:val="0"/>
                <w:color w:val="000000"/>
                <w:sz w:val="19"/>
              </w:rPr>
              <w:t>Mounted mobile integration</w:t>
            </w:r>
          </w:p>
        </w:tc>
        <w:tc>
          <w:tcPr>
            <w:tcW w:type="dxa" w:w="7315"/>
            <w:vAlign w:val="center"/>
            <w:tcMar>
              <w:top w:w="95" w:type="dxa"/>
              <w:bottom w:w="95" w:type="dxa"/>
              <w:left w:w="110" w:type="dxa"/>
              <w:right w:w="110" w:type="dxa"/>
            </w:tcMar>
            <w:shd w:fill="F5F7FA"/>
          </w:tcPr>
          <w:p>
            <w:pPr>
              <w:spacing w:after="0" w:line="259" w:lineRule="auto"/>
            </w:pPr>
            <w:r>
              <w:rPr>
                <w:b w:val="0"/>
                <w:color w:val="000000"/>
                <w:sz w:val="19"/>
              </w:rPr>
              <w:t>mobile/tests/voip/; mobile npm test includes the Jest integration suite.</w:t>
            </w:r>
          </w:p>
        </w:tc>
      </w:tr>
      <w:tr>
        <w:trPr>
          <w:cantSplit/>
        </w:trPr>
        <w:tc>
          <w:tcPr>
            <w:tcW w:type="dxa" w:w="2520"/>
            <w:vAlign w:val="center"/>
            <w:tcMar>
              <w:top w:w="95" w:type="dxa"/>
              <w:bottom w:w="95" w:type="dxa"/>
              <w:left w:w="110" w:type="dxa"/>
              <w:right w:w="110" w:type="dxa"/>
            </w:tcMar>
            <w:shd w:fill="FFFFFF"/>
          </w:tcPr>
          <w:p>
            <w:pPr>
              <w:spacing w:after="0" w:line="259" w:lineRule="auto"/>
            </w:pPr>
            <w:r>
              <w:rPr>
                <w:b w:val="0"/>
                <w:color w:val="000000"/>
                <w:sz w:val="19"/>
              </w:rPr>
              <w:t>Python services</w:t>
            </w:r>
          </w:p>
        </w:tc>
        <w:tc>
          <w:tcPr>
            <w:tcW w:type="dxa" w:w="7315"/>
            <w:vAlign w:val="center"/>
            <w:tcMar>
              <w:top w:w="95" w:type="dxa"/>
              <w:bottom w:w="95" w:type="dxa"/>
              <w:left w:w="110" w:type="dxa"/>
              <w:right w:w="110" w:type="dxa"/>
            </w:tcMar>
            <w:shd w:fill="FFFFFF"/>
          </w:tcPr>
          <w:p>
            <w:pPr>
              <w:spacing w:after="0" w:line="259" w:lineRule="auto"/>
            </w:pPr>
            <w:r>
              <w:rPr>
                <w:b w:val="0"/>
                <w:color w:val="000000"/>
                <w:sz w:val="19"/>
              </w:rPr>
              <w:t>Run python3 -m unittest discover -s tests from each of services/receptionist and services/tts with its own dependencies.</w:t>
            </w:r>
          </w:p>
        </w:tc>
      </w:tr>
      <w:tr>
        <w:trPr>
          <w:cantSplit/>
        </w:trPr>
        <w:tc>
          <w:tcPr>
            <w:tcW w:type="dxa" w:w="2520"/>
            <w:vAlign w:val="center"/>
            <w:tcMar>
              <w:top w:w="95" w:type="dxa"/>
              <w:bottom w:w="95" w:type="dxa"/>
              <w:left w:w="110" w:type="dxa"/>
              <w:right w:w="110" w:type="dxa"/>
            </w:tcMar>
            <w:shd w:fill="F5F7FA"/>
          </w:tcPr>
          <w:p>
            <w:pPr>
              <w:spacing w:after="0" w:line="259" w:lineRule="auto"/>
            </w:pPr>
            <w:r>
              <w:rPr>
                <w:b w:val="0"/>
                <w:color w:val="000000"/>
                <w:sz w:val="19"/>
              </w:rPr>
              <w:t>SIP and native validation</w:t>
            </w:r>
          </w:p>
        </w:tc>
        <w:tc>
          <w:tcPr>
            <w:tcW w:type="dxa" w:w="7315"/>
            <w:vAlign w:val="center"/>
            <w:tcMar>
              <w:top w:w="95" w:type="dxa"/>
              <w:bottom w:w="95" w:type="dxa"/>
              <w:left w:w="110" w:type="dxa"/>
              <w:right w:w="110" w:type="dxa"/>
            </w:tcMar>
            <w:shd w:fill="F5F7FA"/>
          </w:tcPr>
          <w:p>
            <w:pPr>
              <w:spacing w:after="0" w:line="259" w:lineRule="auto"/>
            </w:pPr>
            <w:r>
              <w:rPr>
                <w:b w:val="0"/>
                <w:color w:val="000000"/>
                <w:sz w:val="19"/>
              </w:rPr>
              <w:t>Parse staged Kamailio config in the pinned image; validate XML; compile generated iOS/Android builds.</w:t>
            </w:r>
          </w:p>
        </w:tc>
      </w:tr>
      <w:tr>
        <w:trPr>
          <w:cantSplit/>
        </w:trPr>
        <w:tc>
          <w:tcPr>
            <w:tcW w:type="dxa" w:w="2520"/>
            <w:vAlign w:val="center"/>
            <w:tcMar>
              <w:top w:w="95" w:type="dxa"/>
              <w:bottom w:w="95" w:type="dxa"/>
              <w:left w:w="110" w:type="dxa"/>
              <w:right w:w="110" w:type="dxa"/>
            </w:tcMar>
            <w:shd w:fill="FFFFFF"/>
          </w:tcPr>
          <w:p>
            <w:pPr>
              <w:spacing w:after="0" w:line="259" w:lineRule="auto"/>
            </w:pPr>
            <w:r>
              <w:rPr>
                <w:b w:val="0"/>
                <w:color w:val="000000"/>
                <w:sz w:val="19"/>
              </w:rPr>
              <w:t>Load testing</w:t>
            </w:r>
          </w:p>
        </w:tc>
        <w:tc>
          <w:tcPr>
            <w:tcW w:type="dxa" w:w="7315"/>
            <w:vAlign w:val="center"/>
            <w:tcMar>
              <w:top w:w="95" w:type="dxa"/>
              <w:bottom w:w="95" w:type="dxa"/>
              <w:left w:w="110" w:type="dxa"/>
              <w:right w:w="110" w:type="dxa"/>
            </w:tcMar>
            <w:shd w:fill="FFFFFF"/>
          </w:tcPr>
          <w:p>
            <w:pPr>
              <w:spacing w:after="0" w:line="259" w:lineRule="auto"/>
            </w:pPr>
            <w:r>
              <w:rPr>
                <w:b w:val="0"/>
                <w:color w:val="000000"/>
                <w:sz w:val="19"/>
              </w:rPr>
              <w:t>frontend npm run test:load is an API harness; real SIP/media capacity needs a separate controlled workload.</w:t>
            </w:r>
          </w:p>
        </w:tc>
      </w:tr>
    </w:tbl>
    <w:p>
      <w:pPr>
        <w:spacing w:after="20"/>
      </w:pPr>
      <w:r/>
    </w:p>
    <w:p>
      <w:pPr>
        <w:pStyle w:val="Heading2"/>
      </w:pPr>
      <w:r>
        <w:t>Physical device and browser matrix</w:t>
      </w:r>
    </w:p>
    <w:p>
      <w:r>
        <w:t>Cover web-to-web, web-to-iOS, web-to-Android, iOS-to-Android and reverse directions; add inbound PSTN, outbound PSTN and AI transfers. Include foreground, locked/background, process-terminated, missed push, expired credentials, denied microphone/notification permission and revoked session. Test multiple registered devices for one extension. Record OS restrictions separately: process eviction, user force-stop and ordinary background suspension are different conditions.</w:t>
      </w:r>
    </w:p>
    <w:p>
      <w:pPr>
        <w:pStyle w:val="Heading2"/>
      </w:pPr>
      <w:r>
        <w:t>Capacity test boundaries</w:t>
      </w:r>
    </w:p>
    <w:p>
      <w:r>
        <w:t>Five thousand customer accounts is not the same as five thousand simultaneous calls. Define registered devices, active calls, call attempts per second, push fan-out, AI concurrency and tenant distribution before testing. Ramp in staging with spend limits and stop thresholds. Capture registration latency, SIP outcomes, RTP loss/jitter, CPU/memory, relay ports, DB connections and API latency. Do not stress a live carrier or production customer environment without explicit approval.</w:t>
      </w:r>
    </w:p>
    <w:p>
      <w:pPr>
        <w:pStyle w:val="Heading2"/>
      </w:pPr>
      <w:r>
        <w:t>Coordinated deployment</w:t>
      </w:r>
    </w:p>
    <w:p>
      <w:r>
        <w:t>Deliver web/API through Vercel, voice/AI services through the DigitalOcean deployment workflows, and native changes through separate TestFlight and Android APK builds. A Vercel deployment cannot update an installed mobile binary. Stage strict identity/protocol changes with matching SIP configuration before API promotion. Retain compatible backups and a tested rollback procedure, including any database migration constraints.</w:t>
      </w:r>
    </w:p>
    <w:p>
      <w:pPr>
        <w:pStyle w:val="Heading1"/>
        <w:pageBreakBefore/>
      </w:pPr>
      <w:r>
        <w:t>9 Delivery Governance and Proposal</w:t>
      </w:r>
    </w:p>
    <w:p>
      <w:r>
        <w:t>The engagement should be milestone-based. Duration and cost are to be proposed after the developer sees the authorized baseline; no deadline, staffing promise or production SLA is implied by this PID.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27"/>
        <w:gridCol w:w="4810"/>
        <w:gridCol w:w="3398"/>
      </w:tblGrid>
      <w:tr>
        <w:trPr>
          <w:cantSplit/>
          <w:tblHeader/>
        </w:trPr>
        <w:tc>
          <w:tcPr>
            <w:tcW w:type="dxa" w:w="1627"/>
            <w:vAlign w:val="center"/>
            <w:tcMar>
              <w:top w:w="95" w:type="dxa"/>
              <w:bottom w:w="95" w:type="dxa"/>
              <w:left w:w="110" w:type="dxa"/>
              <w:right w:w="110" w:type="dxa"/>
            </w:tcMar>
            <w:shd w:fill="DCEAF5"/>
          </w:tcPr>
          <w:p>
            <w:pPr>
              <w:spacing w:after="0" w:line="259" w:lineRule="auto"/>
            </w:pPr>
            <w:r>
              <w:rPr>
                <w:b/>
                <w:color w:val="000000"/>
                <w:sz w:val="19"/>
              </w:rPr>
              <w:t>Milestone</w:t>
            </w:r>
          </w:p>
        </w:tc>
        <w:tc>
          <w:tcPr>
            <w:tcW w:type="dxa" w:w="4810"/>
            <w:vAlign w:val="center"/>
            <w:tcMar>
              <w:top w:w="95" w:type="dxa"/>
              <w:bottom w:w="95" w:type="dxa"/>
              <w:left w:w="110" w:type="dxa"/>
              <w:right w:w="110" w:type="dxa"/>
            </w:tcMar>
            <w:shd w:fill="DCEAF5"/>
          </w:tcPr>
          <w:p>
            <w:pPr>
              <w:spacing w:after="0" w:line="259" w:lineRule="auto"/>
            </w:pPr>
            <w:r>
              <w:rPr>
                <w:b/>
                <w:color w:val="000000"/>
                <w:sz w:val="19"/>
              </w:rPr>
              <w:t>Deliverables</w:t>
            </w:r>
          </w:p>
        </w:tc>
        <w:tc>
          <w:tcPr>
            <w:tcW w:type="dxa" w:w="3398"/>
            <w:vAlign w:val="center"/>
            <w:tcMar>
              <w:top w:w="95" w:type="dxa"/>
              <w:bottom w:w="95" w:type="dxa"/>
              <w:left w:w="110" w:type="dxa"/>
              <w:right w:w="110" w:type="dxa"/>
            </w:tcMar>
            <w:shd w:fill="DCEAF5"/>
          </w:tcPr>
          <w:p>
            <w:pPr>
              <w:spacing w:after="0" w:line="259" w:lineRule="auto"/>
            </w:pPr>
            <w:r>
              <w:rPr>
                <w:b/>
                <w:color w:val="000000"/>
                <w:sz w:val="19"/>
              </w:rPr>
              <w:t>Approval gate</w:t>
            </w:r>
          </w:p>
        </w:tc>
      </w:tr>
      <w:tr>
        <w:trPr>
          <w:cantSplit/>
        </w:trPr>
        <w:tc>
          <w:tcPr>
            <w:tcW w:type="dxa" w:w="1627"/>
            <w:vAlign w:val="center"/>
            <w:tcMar>
              <w:top w:w="95" w:type="dxa"/>
              <w:bottom w:w="95" w:type="dxa"/>
              <w:left w:w="110" w:type="dxa"/>
              <w:right w:w="110" w:type="dxa"/>
            </w:tcMar>
            <w:shd w:fill="FFFFFF"/>
          </w:tcPr>
          <w:p>
            <w:pPr>
              <w:spacing w:after="0" w:line="259" w:lineRule="auto"/>
            </w:pPr>
            <w:r>
              <w:rPr>
                <w:b w:val="0"/>
                <w:color w:val="000000"/>
                <w:sz w:val="19"/>
              </w:rPr>
              <w:t>M1 Diagnose</w:t>
            </w:r>
          </w:p>
        </w:tc>
        <w:tc>
          <w:tcPr>
            <w:tcW w:type="dxa" w:w="4810"/>
            <w:vAlign w:val="center"/>
            <w:tcMar>
              <w:top w:w="95" w:type="dxa"/>
              <w:bottom w:w="95" w:type="dxa"/>
              <w:left w:w="110" w:type="dxa"/>
              <w:right w:w="110" w:type="dxa"/>
            </w:tcMar>
            <w:shd w:fill="FFFFFF"/>
          </w:tcPr>
          <w:p>
            <w:pPr>
              <w:spacing w:after="0" w:line="259" w:lineRule="auto"/>
            </w:pPr>
            <w:r>
              <w:rPr>
                <w:b w:val="0"/>
                <w:color w:val="000000"/>
                <w:sz w:val="19"/>
              </w:rPr>
              <w:t>Pinned baseline; architecture/capability matrix; reproduced issue register; security and performance observations; scoped remediation estimate.</w:t>
            </w:r>
          </w:p>
        </w:tc>
        <w:tc>
          <w:tcPr>
            <w:tcW w:type="dxa" w:w="3398"/>
            <w:vAlign w:val="center"/>
            <w:tcMar>
              <w:top w:w="95" w:type="dxa"/>
              <w:bottom w:w="95" w:type="dxa"/>
              <w:left w:w="110" w:type="dxa"/>
              <w:right w:w="110" w:type="dxa"/>
            </w:tcMar>
            <w:shd w:fill="FFFFFF"/>
          </w:tcPr>
          <w:p>
            <w:pPr>
              <w:spacing w:after="0" w:line="259" w:lineRule="auto"/>
            </w:pPr>
            <w:r>
              <w:rPr>
                <w:b w:val="0"/>
                <w:color w:val="000000"/>
                <w:sz w:val="19"/>
              </w:rPr>
              <w:t>Vocivo approves priorities, supported features and acceptance targets.</w:t>
            </w:r>
          </w:p>
        </w:tc>
      </w:tr>
      <w:tr>
        <w:trPr>
          <w:cantSplit/>
        </w:trPr>
        <w:tc>
          <w:tcPr>
            <w:tcW w:type="dxa" w:w="1627"/>
            <w:vAlign w:val="center"/>
            <w:tcMar>
              <w:top w:w="95" w:type="dxa"/>
              <w:bottom w:w="95" w:type="dxa"/>
              <w:left w:w="110" w:type="dxa"/>
              <w:right w:w="110" w:type="dxa"/>
            </w:tcMar>
            <w:shd w:fill="F5F7FA"/>
          </w:tcPr>
          <w:p>
            <w:pPr>
              <w:spacing w:after="0" w:line="259" w:lineRule="auto"/>
            </w:pPr>
            <w:r>
              <w:rPr>
                <w:b w:val="0"/>
                <w:color w:val="000000"/>
                <w:sz w:val="19"/>
              </w:rPr>
              <w:t>M2 Stabilize</w:t>
            </w:r>
          </w:p>
        </w:tc>
        <w:tc>
          <w:tcPr>
            <w:tcW w:type="dxa" w:w="4810"/>
            <w:vAlign w:val="center"/>
            <w:tcMar>
              <w:top w:w="95" w:type="dxa"/>
              <w:bottom w:w="95" w:type="dxa"/>
              <w:left w:w="110" w:type="dxa"/>
              <w:right w:w="110" w:type="dxa"/>
            </w:tcMar>
            <w:shd w:fill="F5F7FA"/>
          </w:tcPr>
          <w:p>
            <w:pPr>
              <w:spacing w:after="0" w:line="259" w:lineRule="auto"/>
            </w:pPr>
            <w:r>
              <w:rPr>
                <w:b w:val="0"/>
                <w:color w:val="000000"/>
                <w:sz w:val="19"/>
              </w:rPr>
              <w:t>Small reviewable fixes for accepted high-priority issues; regression tests; before/after traces; migration notes when needed.</w:t>
            </w:r>
          </w:p>
        </w:tc>
        <w:tc>
          <w:tcPr>
            <w:tcW w:type="dxa" w:w="3398"/>
            <w:vAlign w:val="center"/>
            <w:tcMar>
              <w:top w:w="95" w:type="dxa"/>
              <w:bottom w:w="95" w:type="dxa"/>
              <w:left w:w="110" w:type="dxa"/>
              <w:right w:w="110" w:type="dxa"/>
            </w:tcMar>
            <w:shd w:fill="F5F7FA"/>
          </w:tcPr>
          <w:p>
            <w:pPr>
              <w:spacing w:after="0" w:line="259" w:lineRule="auto"/>
            </w:pPr>
            <w:r>
              <w:rPr>
                <w:b w:val="0"/>
                <w:color w:val="000000"/>
                <w:sz w:val="19"/>
              </w:rPr>
              <w:t>Independent review and staging tests pass without regression to working external calls.</w:t>
            </w:r>
          </w:p>
        </w:tc>
      </w:tr>
      <w:tr>
        <w:trPr>
          <w:cantSplit/>
        </w:trPr>
        <w:tc>
          <w:tcPr>
            <w:tcW w:type="dxa" w:w="1627"/>
            <w:vAlign w:val="center"/>
            <w:tcMar>
              <w:top w:w="95" w:type="dxa"/>
              <w:bottom w:w="95" w:type="dxa"/>
              <w:left w:w="110" w:type="dxa"/>
              <w:right w:w="110" w:type="dxa"/>
            </w:tcMar>
            <w:shd w:fill="FFFFFF"/>
          </w:tcPr>
          <w:p>
            <w:pPr>
              <w:spacing w:after="0" w:line="259" w:lineRule="auto"/>
            </w:pPr>
            <w:r>
              <w:rPr>
                <w:b w:val="0"/>
                <w:color w:val="000000"/>
                <w:sz w:val="19"/>
              </w:rPr>
              <w:t>M3 Validate</w:t>
            </w:r>
          </w:p>
        </w:tc>
        <w:tc>
          <w:tcPr>
            <w:tcW w:type="dxa" w:w="4810"/>
            <w:vAlign w:val="center"/>
            <w:tcMar>
              <w:top w:w="95" w:type="dxa"/>
              <w:bottom w:w="95" w:type="dxa"/>
              <w:left w:w="110" w:type="dxa"/>
              <w:right w:w="110" w:type="dxa"/>
            </w:tcMar>
            <w:shd w:fill="FFFFFF"/>
          </w:tcPr>
          <w:p>
            <w:pPr>
              <w:spacing w:after="0" w:line="259" w:lineRule="auto"/>
            </w:pPr>
            <w:r>
              <w:rPr>
                <w:b w:val="0"/>
                <w:color w:val="000000"/>
                <w:sz w:val="19"/>
              </w:rPr>
              <w:t>Web/native/service builds; physical call matrix; billing and tenant tests; load and soak report.</w:t>
            </w:r>
          </w:p>
        </w:tc>
        <w:tc>
          <w:tcPr>
            <w:tcW w:type="dxa" w:w="3398"/>
            <w:vAlign w:val="center"/>
            <w:tcMar>
              <w:top w:w="95" w:type="dxa"/>
              <w:bottom w:w="95" w:type="dxa"/>
              <w:left w:w="110" w:type="dxa"/>
              <w:right w:w="110" w:type="dxa"/>
            </w:tcMar>
            <w:shd w:fill="FFFFFF"/>
          </w:tcPr>
          <w:p>
            <w:pPr>
              <w:spacing w:after="0" w:line="259" w:lineRule="auto"/>
            </w:pPr>
            <w:r>
              <w:rPr>
                <w:b w:val="0"/>
                <w:color w:val="000000"/>
                <w:sz w:val="19"/>
              </w:rPr>
              <w:t>No unresolved high-severity issue; residual risks explicitly accepted or deferred.</w:t>
            </w:r>
          </w:p>
        </w:tc>
      </w:tr>
      <w:tr>
        <w:trPr>
          <w:cantSplit/>
        </w:trPr>
        <w:tc>
          <w:tcPr>
            <w:tcW w:type="dxa" w:w="1627"/>
            <w:vAlign w:val="center"/>
            <w:tcMar>
              <w:top w:w="95" w:type="dxa"/>
              <w:bottom w:w="95" w:type="dxa"/>
              <w:left w:w="110" w:type="dxa"/>
              <w:right w:w="110" w:type="dxa"/>
            </w:tcMar>
            <w:shd w:fill="F5F7FA"/>
          </w:tcPr>
          <w:p>
            <w:pPr>
              <w:spacing w:after="0" w:line="259" w:lineRule="auto"/>
            </w:pPr>
            <w:r>
              <w:rPr>
                <w:b w:val="0"/>
                <w:color w:val="000000"/>
                <w:sz w:val="19"/>
              </w:rPr>
              <w:t>M4 Release</w:t>
            </w:r>
          </w:p>
        </w:tc>
        <w:tc>
          <w:tcPr>
            <w:tcW w:type="dxa" w:w="4810"/>
            <w:vAlign w:val="center"/>
            <w:tcMar>
              <w:top w:w="95" w:type="dxa"/>
              <w:bottom w:w="95" w:type="dxa"/>
              <w:left w:w="110" w:type="dxa"/>
              <w:right w:w="110" w:type="dxa"/>
            </w:tcMar>
            <w:shd w:fill="F5F7FA"/>
          </w:tcPr>
          <w:p>
            <w:pPr>
              <w:spacing w:after="0" w:line="259" w:lineRule="auto"/>
            </w:pPr>
            <w:r>
              <w:rPr>
                <w:b w:val="0"/>
                <w:color w:val="000000"/>
                <w:sz w:val="19"/>
              </w:rPr>
              <w:t>Coordinated edge/API deployment; TestFlight and APK artifacts when mobile changed; smoke checks; rollback evidence.</w:t>
            </w:r>
          </w:p>
        </w:tc>
        <w:tc>
          <w:tcPr>
            <w:tcW w:type="dxa" w:w="3398"/>
            <w:vAlign w:val="center"/>
            <w:tcMar>
              <w:top w:w="95" w:type="dxa"/>
              <w:bottom w:w="95" w:type="dxa"/>
              <w:left w:w="110" w:type="dxa"/>
              <w:right w:w="110" w:type="dxa"/>
            </w:tcMar>
            <w:shd w:fill="F5F7FA"/>
          </w:tcPr>
          <w:p>
            <w:pPr>
              <w:spacing w:after="0" w:line="259" w:lineRule="auto"/>
            </w:pPr>
            <w:r>
              <w:rPr>
                <w:b w:val="0"/>
                <w:color w:val="000000"/>
                <w:sz w:val="19"/>
              </w:rPr>
              <w:t>Vocivo authorizes production promotion after the compatibility check.</w:t>
            </w:r>
          </w:p>
        </w:tc>
      </w:tr>
      <w:tr>
        <w:trPr>
          <w:cantSplit/>
        </w:trPr>
        <w:tc>
          <w:tcPr>
            <w:tcW w:type="dxa" w:w="1627"/>
            <w:vAlign w:val="center"/>
            <w:tcMar>
              <w:top w:w="95" w:type="dxa"/>
              <w:bottom w:w="95" w:type="dxa"/>
              <w:left w:w="110" w:type="dxa"/>
              <w:right w:w="110" w:type="dxa"/>
            </w:tcMar>
            <w:shd w:fill="FFFFFF"/>
          </w:tcPr>
          <w:p>
            <w:pPr>
              <w:spacing w:after="0" w:line="259" w:lineRule="auto"/>
            </w:pPr>
            <w:r>
              <w:rPr>
                <w:b w:val="0"/>
                <w:color w:val="000000"/>
                <w:sz w:val="19"/>
              </w:rPr>
              <w:t>M5 Handover</w:t>
            </w:r>
          </w:p>
        </w:tc>
        <w:tc>
          <w:tcPr>
            <w:tcW w:type="dxa" w:w="4810"/>
            <w:vAlign w:val="center"/>
            <w:tcMar>
              <w:top w:w="95" w:type="dxa"/>
              <w:bottom w:w="95" w:type="dxa"/>
              <w:left w:w="110" w:type="dxa"/>
              <w:right w:w="110" w:type="dxa"/>
            </w:tcMar>
            <w:shd w:fill="FFFFFF"/>
          </w:tcPr>
          <w:p>
            <w:pPr>
              <w:spacing w:after="0" w:line="259" w:lineRule="auto"/>
            </w:pPr>
            <w:r>
              <w:rPr>
                <w:b w:val="0"/>
                <w:color w:val="000000"/>
                <w:sz w:val="19"/>
              </w:rPr>
              <w:t>Feature/runbook updates, dependency inventory, monitoring guide, final defect register and knowledge-transfer session.</w:t>
            </w:r>
          </w:p>
        </w:tc>
        <w:tc>
          <w:tcPr>
            <w:tcW w:type="dxa" w:w="3398"/>
            <w:vAlign w:val="center"/>
            <w:tcMar>
              <w:top w:w="95" w:type="dxa"/>
              <w:bottom w:w="95" w:type="dxa"/>
              <w:left w:w="110" w:type="dxa"/>
              <w:right w:w="110" w:type="dxa"/>
            </w:tcMar>
            <w:shd w:fill="FFFFFF"/>
          </w:tcPr>
          <w:p>
            <w:pPr>
              <w:spacing w:after="0" w:line="259" w:lineRule="auto"/>
            </w:pPr>
            <w:r>
              <w:rPr>
                <w:b w:val="0"/>
                <w:color w:val="000000"/>
                <w:sz w:val="19"/>
              </w:rPr>
              <w:t>Vocivo receives repository changes, artifacts and an agreed support arrangement.</w:t>
            </w:r>
          </w:p>
        </w:tc>
      </w:tr>
    </w:tbl>
    <w:p>
      <w:pPr>
        <w:spacing w:after="20"/>
      </w:pPr>
      <w:r/>
    </w:p>
    <w:p>
      <w:pPr>
        <w:pStyle w:val="Heading2"/>
      </w:pPr>
      <w:r>
        <w:t>Responsibilities</w:t>
      </w:r>
    </w:p>
    <w:p>
      <w:r>
        <w:t>Vocivo Communications owns product priorities, customer access authorization, budget and release approval. The lead engineer owns diagnosis, design decisions and implementation evidence. A reviewer or QA engineer independently checks security-sensitive changes and real-device outcomes. A designated deployment operator manages staged releases and rollback. One person may cover multiple roles, but high-risk work still needs a second review.</w:t>
      </w:r>
    </w:p>
    <w:p>
      <w:pPr>
        <w:pStyle w:val="Heading2"/>
      </w:pPr>
      <w:r>
        <w:t>What the developer should quote</w:t>
      </w:r>
    </w:p>
    <w:p>
      <w:pPr>
        <w:pStyle w:val="ListBullet"/>
        <w:spacing w:after="100"/>
      </w:pPr>
      <w:r>
        <w:t>Relevant shipped VoIP products, personal responsibilities and a sample anonymized diagnosis of an audio or background-calling defect.</w:t>
      </w:r>
    </w:p>
    <w:p>
      <w:pPr>
        <w:pStyle w:val="ListBullet"/>
        <w:spacing w:after="100"/>
      </w:pPr>
      <w:r>
        <w:t>Named personnel and gaps in SIP infrastructure, TypeScript, React Native, Swift/Kotlin, PostgreSQL or Python coverage.</w:t>
      </w:r>
    </w:p>
    <w:p>
      <w:pPr>
        <w:pStyle w:val="ListBullet"/>
        <w:spacing w:after="100"/>
      </w:pPr>
      <w:r>
        <w:t>A fixed-scope M1 quote, then estimated effort and price by work package; assumptions, exclusions, payment milestones and availability.</w:t>
      </w:r>
    </w:p>
    <w:p>
      <w:pPr>
        <w:pStyle w:val="ListBullet"/>
        <w:spacing w:after="100"/>
      </w:pPr>
      <w:r>
        <w:t>Physical test devices, test evidence format, communication cadence, defect-response expectations and a proposed post-release warranty/support period.</w:t>
      </w:r>
    </w:p>
    <w:p>
      <w:pPr>
        <w:pStyle w:val="Heading2"/>
      </w:pPr>
      <w:r>
        <w:t>Change and release control</w:t>
      </w:r>
    </w:p>
    <w:p>
      <w:r>
        <w:t>Each defect should link to a branch, pull request, tests and release/build identifiers. Any provider replacement, large rewrite, new dependency, destructive schema change or feature removal requires a written impact/rollback proposal and approval first. No direct unreviewed production edits. Provide a short progress summary at each agreed checkpoint and escalate blockers with evidence.</w:t>
      </w:r>
    </w:p>
    <w:p>
      <w:pPr>
        <w:pStyle w:val="Heading1"/>
        <w:pageBreakBefore/>
      </w:pPr>
      <w:r>
        <w:t>10 Risk Management and Handover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23"/>
        <w:gridCol w:w="6912"/>
      </w:tblGrid>
      <w:tr>
        <w:trPr>
          <w:cantSplit/>
          <w:tblHeader/>
        </w:trPr>
        <w:tc>
          <w:tcPr>
            <w:tcW w:type="dxa" w:w="2923"/>
            <w:vAlign w:val="center"/>
            <w:tcMar>
              <w:top w:w="95" w:type="dxa"/>
              <w:bottom w:w="95" w:type="dxa"/>
              <w:left w:w="110" w:type="dxa"/>
              <w:right w:w="110" w:type="dxa"/>
            </w:tcMar>
            <w:shd w:fill="DCEAF5"/>
          </w:tcPr>
          <w:p>
            <w:pPr>
              <w:spacing w:after="0" w:line="259" w:lineRule="auto"/>
            </w:pPr>
            <w:r>
              <w:rPr>
                <w:b/>
                <w:color w:val="000000"/>
                <w:sz w:val="19"/>
              </w:rPr>
              <w:t>Risk</w:t>
            </w:r>
          </w:p>
        </w:tc>
        <w:tc>
          <w:tcPr>
            <w:tcW w:type="dxa" w:w="6912"/>
            <w:vAlign w:val="center"/>
            <w:tcMar>
              <w:top w:w="95" w:type="dxa"/>
              <w:bottom w:w="95" w:type="dxa"/>
              <w:left w:w="110" w:type="dxa"/>
              <w:right w:w="110" w:type="dxa"/>
            </w:tcMar>
            <w:shd w:fill="DCEAF5"/>
          </w:tcPr>
          <w:p>
            <w:pPr>
              <w:spacing w:after="0" w:line="259" w:lineRule="auto"/>
            </w:pPr>
            <w:r>
              <w:rPr>
                <w:b/>
                <w:color w:val="000000"/>
                <w:sz w:val="19"/>
              </w:rPr>
              <w:t>Required control</w:t>
            </w:r>
          </w:p>
        </w:tc>
      </w:tr>
      <w:tr>
        <w:trPr>
          <w:cantSplit/>
        </w:trPr>
        <w:tc>
          <w:tcPr>
            <w:tcW w:type="dxa" w:w="2923"/>
            <w:vAlign w:val="center"/>
            <w:tcMar>
              <w:top w:w="95" w:type="dxa"/>
              <w:bottom w:w="95" w:type="dxa"/>
              <w:left w:w="110" w:type="dxa"/>
              <w:right w:w="110" w:type="dxa"/>
            </w:tcMar>
            <w:shd w:fill="FFFFFF"/>
          </w:tcPr>
          <w:p>
            <w:pPr>
              <w:spacing w:after="0" w:line="259" w:lineRule="auto"/>
            </w:pPr>
            <w:r>
              <w:rPr>
                <w:b w:val="0"/>
                <w:color w:val="000000"/>
                <w:sz w:val="19"/>
              </w:rPr>
              <w:t>Client and edge mismatch</w:t>
            </w:r>
          </w:p>
        </w:tc>
        <w:tc>
          <w:tcPr>
            <w:tcW w:type="dxa" w:w="6912"/>
            <w:vAlign w:val="center"/>
            <w:tcMar>
              <w:top w:w="95" w:type="dxa"/>
              <w:bottom w:w="95" w:type="dxa"/>
              <w:left w:w="110" w:type="dxa"/>
              <w:right w:w="110" w:type="dxa"/>
            </w:tcMar>
            <w:shd w:fill="FFFFFF"/>
          </w:tcPr>
          <w:p>
            <w:pPr>
              <w:spacing w:after="0" w:line="259" w:lineRule="auto"/>
            </w:pPr>
            <w:r>
              <w:rPr>
                <w:b w:val="0"/>
                <w:color w:val="000000"/>
                <w:sz w:val="19"/>
              </w:rPr>
              <w:t>Pin all runtime versions; deploy protocol changes as a compatible set; keep rollback artifacts.</w:t>
            </w:r>
          </w:p>
        </w:tc>
      </w:tr>
      <w:tr>
        <w:trPr>
          <w:cantSplit/>
        </w:trPr>
        <w:tc>
          <w:tcPr>
            <w:tcW w:type="dxa" w:w="2923"/>
            <w:vAlign w:val="center"/>
            <w:tcMar>
              <w:top w:w="95" w:type="dxa"/>
              <w:bottom w:w="95" w:type="dxa"/>
              <w:left w:w="110" w:type="dxa"/>
              <w:right w:w="110" w:type="dxa"/>
            </w:tcMar>
            <w:shd w:fill="F5F7FA"/>
          </w:tcPr>
          <w:p>
            <w:pPr>
              <w:spacing w:after="0" w:line="259" w:lineRule="auto"/>
            </w:pPr>
            <w:r>
              <w:rPr>
                <w:b w:val="0"/>
                <w:color w:val="000000"/>
                <w:sz w:val="19"/>
              </w:rPr>
              <w:t>Native OS delivery limits</w:t>
            </w:r>
          </w:p>
        </w:tc>
        <w:tc>
          <w:tcPr>
            <w:tcW w:type="dxa" w:w="6912"/>
            <w:vAlign w:val="center"/>
            <w:tcMar>
              <w:top w:w="95" w:type="dxa"/>
              <w:bottom w:w="95" w:type="dxa"/>
              <w:left w:w="110" w:type="dxa"/>
              <w:right w:w="110" w:type="dxa"/>
            </w:tcMar>
            <w:shd w:fill="F5F7FA"/>
          </w:tcPr>
          <w:p>
            <w:pPr>
              <w:spacing w:after="0" w:line="259" w:lineRule="auto"/>
            </w:pPr>
            <w:r>
              <w:rPr>
                <w:b w:val="0"/>
                <w:color w:val="000000"/>
                <w:sz w:val="19"/>
              </w:rPr>
              <w:t>Test real devices and distinct lifecycle states; document supported conditions instead of promising delivery in every OS state.</w:t>
            </w:r>
          </w:p>
        </w:tc>
      </w:tr>
      <w:tr>
        <w:trPr>
          <w:cantSplit/>
        </w:trPr>
        <w:tc>
          <w:tcPr>
            <w:tcW w:type="dxa" w:w="2923"/>
            <w:vAlign w:val="center"/>
            <w:tcMar>
              <w:top w:w="95" w:type="dxa"/>
              <w:bottom w:w="95" w:type="dxa"/>
              <w:left w:w="110" w:type="dxa"/>
              <w:right w:w="110" w:type="dxa"/>
            </w:tcMar>
            <w:shd w:fill="FFFFFF"/>
          </w:tcPr>
          <w:p>
            <w:pPr>
              <w:spacing w:after="0" w:line="259" w:lineRule="auto"/>
            </w:pPr>
            <w:r>
              <w:rPr>
                <w:b w:val="0"/>
                <w:color w:val="000000"/>
                <w:sz w:val="19"/>
              </w:rPr>
              <w:t>Carrier and external model outage</w:t>
            </w:r>
          </w:p>
        </w:tc>
        <w:tc>
          <w:tcPr>
            <w:tcW w:type="dxa" w:w="6912"/>
            <w:vAlign w:val="center"/>
            <w:tcMar>
              <w:top w:w="95" w:type="dxa"/>
              <w:bottom w:w="95" w:type="dxa"/>
              <w:left w:w="110" w:type="dxa"/>
              <w:right w:w="110" w:type="dxa"/>
            </w:tcMar>
            <w:shd w:fill="FFFFFF"/>
          </w:tcPr>
          <w:p>
            <w:pPr>
              <w:spacing w:after="0" w:line="259" w:lineRule="auto"/>
            </w:pPr>
            <w:r>
              <w:rPr>
                <w:b w:val="0"/>
                <w:color w:val="000000"/>
                <w:sz w:val="19"/>
              </w:rPr>
              <w:t>Bound calls and requests, keep useful failure behavior, record dependencies and review cost exposure.</w:t>
            </w:r>
          </w:p>
        </w:tc>
      </w:tr>
      <w:tr>
        <w:trPr>
          <w:cantSplit/>
        </w:trPr>
        <w:tc>
          <w:tcPr>
            <w:tcW w:type="dxa" w:w="2923"/>
            <w:vAlign w:val="center"/>
            <w:tcMar>
              <w:top w:w="95" w:type="dxa"/>
              <w:bottom w:w="95" w:type="dxa"/>
              <w:left w:w="110" w:type="dxa"/>
              <w:right w:w="110" w:type="dxa"/>
            </w:tcMar>
            <w:shd w:fill="F5F7FA"/>
          </w:tcPr>
          <w:p>
            <w:pPr>
              <w:spacing w:after="0" w:line="259" w:lineRule="auto"/>
            </w:pPr>
            <w:r>
              <w:rPr>
                <w:b w:val="0"/>
                <w:color w:val="000000"/>
                <w:sz w:val="19"/>
              </w:rPr>
              <w:t>AI resource contention</w:t>
            </w:r>
          </w:p>
        </w:tc>
        <w:tc>
          <w:tcPr>
            <w:tcW w:type="dxa" w:w="6912"/>
            <w:vAlign w:val="center"/>
            <w:tcMar>
              <w:top w:w="95" w:type="dxa"/>
              <w:bottom w:w="95" w:type="dxa"/>
              <w:left w:w="110" w:type="dxa"/>
              <w:right w:w="110" w:type="dxa"/>
            </w:tcMar>
            <w:shd w:fill="F5F7FA"/>
          </w:tcPr>
          <w:p>
            <w:pPr>
              <w:spacing w:after="0" w:line="259" w:lineRule="auto"/>
            </w:pPr>
            <w:r>
              <w:rPr>
                <w:b w:val="0"/>
                <w:color w:val="000000"/>
                <w:sz w:val="19"/>
              </w:rPr>
              <w:t>Measure concurrent STT/TTS and PBX/media load on the same host; separate services if the evidence warrants it.</w:t>
            </w:r>
          </w:p>
        </w:tc>
      </w:tr>
      <w:tr>
        <w:trPr>
          <w:cantSplit/>
        </w:trPr>
        <w:tc>
          <w:tcPr>
            <w:tcW w:type="dxa" w:w="2923"/>
            <w:vAlign w:val="center"/>
            <w:tcMar>
              <w:top w:w="95" w:type="dxa"/>
              <w:bottom w:w="95" w:type="dxa"/>
              <w:left w:w="110" w:type="dxa"/>
              <w:right w:w="110" w:type="dxa"/>
            </w:tcMar>
            <w:shd w:fill="FFFFFF"/>
          </w:tcPr>
          <w:p>
            <w:pPr>
              <w:spacing w:after="0" w:line="259" w:lineRule="auto"/>
            </w:pPr>
            <w:r>
              <w:rPr>
                <w:b w:val="0"/>
                <w:color w:val="000000"/>
                <w:sz w:val="19"/>
              </w:rPr>
              <w:t>Tenant or credential exposure</w:t>
            </w:r>
          </w:p>
        </w:tc>
        <w:tc>
          <w:tcPr>
            <w:tcW w:type="dxa" w:w="6912"/>
            <w:vAlign w:val="center"/>
            <w:tcMar>
              <w:top w:w="95" w:type="dxa"/>
              <w:bottom w:w="95" w:type="dxa"/>
              <w:left w:w="110" w:type="dxa"/>
              <w:right w:w="110" w:type="dxa"/>
            </w:tcMar>
            <w:shd w:fill="FFFFFF"/>
          </w:tcPr>
          <w:p>
            <w:pPr>
              <w:spacing w:after="0" w:line="259" w:lineRule="auto"/>
            </w:pPr>
            <w:r>
              <w:rPr>
                <w:b w:val="0"/>
                <w:color w:val="000000"/>
                <w:sz w:val="19"/>
              </w:rPr>
              <w:t>Least-privilege access, tenant-negative tests, redacted traces, server-side secrets and reviewed database boundaries.</w:t>
            </w:r>
          </w:p>
        </w:tc>
      </w:tr>
      <w:tr>
        <w:trPr>
          <w:cantSplit/>
        </w:trPr>
        <w:tc>
          <w:tcPr>
            <w:tcW w:type="dxa" w:w="2923"/>
            <w:vAlign w:val="center"/>
            <w:tcMar>
              <w:top w:w="95" w:type="dxa"/>
              <w:bottom w:w="95" w:type="dxa"/>
              <w:left w:w="110" w:type="dxa"/>
              <w:right w:w="110" w:type="dxa"/>
            </w:tcMar>
            <w:shd w:fill="F5F7FA"/>
          </w:tcPr>
          <w:p>
            <w:pPr>
              <w:spacing w:after="0" w:line="259" w:lineRule="auto"/>
            </w:pPr>
            <w:r>
              <w:rPr>
                <w:b w:val="0"/>
                <w:color w:val="000000"/>
                <w:sz w:val="19"/>
              </w:rPr>
              <w:t>Financial or data loss</w:t>
            </w:r>
          </w:p>
        </w:tc>
        <w:tc>
          <w:tcPr>
            <w:tcW w:type="dxa" w:w="6912"/>
            <w:vAlign w:val="center"/>
            <w:tcMar>
              <w:top w:w="95" w:type="dxa"/>
              <w:bottom w:w="95" w:type="dxa"/>
              <w:left w:w="110" w:type="dxa"/>
              <w:right w:w="110" w:type="dxa"/>
            </w:tcMar>
            <w:shd w:fill="F5F7FA"/>
          </w:tcPr>
          <w:p>
            <w:pPr>
              <w:spacing w:after="0" w:line="259" w:lineRule="auto"/>
            </w:pPr>
            <w:r>
              <w:rPr>
                <w:b w:val="0"/>
                <w:color w:val="000000"/>
                <w:sz w:val="19"/>
              </w:rPr>
              <w:t>Idempotency, transactions/version checks, reconciliation, backups and controlled migration rehearsals.</w:t>
            </w:r>
          </w:p>
        </w:tc>
      </w:tr>
      <w:tr>
        <w:trPr>
          <w:cantSplit/>
        </w:trPr>
        <w:tc>
          <w:tcPr>
            <w:tcW w:type="dxa" w:w="2923"/>
            <w:vAlign w:val="center"/>
            <w:tcMar>
              <w:top w:w="95" w:type="dxa"/>
              <w:bottom w:w="95" w:type="dxa"/>
              <w:left w:w="110" w:type="dxa"/>
              <w:right w:w="110" w:type="dxa"/>
            </w:tcMar>
            <w:shd w:fill="FFFFFF"/>
          </w:tcPr>
          <w:p>
            <w:pPr>
              <w:spacing w:after="0" w:line="259" w:lineRule="auto"/>
            </w:pPr>
            <w:r>
              <w:rPr>
                <w:b w:val="0"/>
                <w:color w:val="000000"/>
                <w:sz w:val="19"/>
              </w:rPr>
              <w:t>Unproven feature or capacity claims</w:t>
            </w:r>
          </w:p>
        </w:tc>
        <w:tc>
          <w:tcPr>
            <w:tcW w:type="dxa" w:w="6912"/>
            <w:vAlign w:val="center"/>
            <w:tcMar>
              <w:top w:w="95" w:type="dxa"/>
              <w:bottom w:w="95" w:type="dxa"/>
              <w:left w:w="110" w:type="dxa"/>
              <w:right w:w="110" w:type="dxa"/>
            </w:tcMar>
            <w:shd w:fill="FFFFFF"/>
          </w:tcPr>
          <w:p>
            <w:pPr>
              <w:spacing w:after="0" w:line="259" w:lineRule="auto"/>
            </w:pPr>
            <w:r>
              <w:rPr>
                <w:b w:val="0"/>
                <w:color w:val="000000"/>
                <w:sz w:val="19"/>
              </w:rPr>
              <w:t>Maintain an engine/platform capability matrix; gate marketing and activation on evidence.</w:t>
            </w:r>
          </w:p>
        </w:tc>
      </w:tr>
    </w:tbl>
    <w:p>
      <w:pPr>
        <w:spacing w:after="20"/>
      </w:pPr>
      <w:r/>
    </w:p>
    <w:p>
      <w:pPr>
        <w:pStyle w:val="Heading2"/>
      </w:pPr>
      <w:r>
        <w:t>Access and data handling</w:t>
      </w:r>
    </w:p>
    <w:p>
      <w:r>
        <w:t>Start with read-only repository access and sanitized logs. Use temporary, least-privilege staging accounts and separate test tenants. Keep carrier keys, production database credentials, APNs signing material, FCM secrets, SIP Authorization headers, customer messages and recordings out of proposals and ordinary chat. Grant production access only for an approved task, log changes and revoke access at completion. Keep keys in Vocivo-controlled secret storage.</w:t>
      </w:r>
    </w:p>
    <w:p>
      <w:r>
        <w:t>Document what call audio, transcripts and metadata leave each service. The self-hosted speech path does not remove the external LLM dependency. Confirm retention, access and deletion controls for speech files, transcripts, voicemail and logs. Regulatory, emergency-calling, recording-consent and telecom resale obligations require a separate qualified review before commercial rollout; engineering tests do not establish legal compliance.</w:t>
      </w:r>
    </w:p>
    <w:p>
      <w:pPr>
        <w:pStyle w:val="Heading2"/>
      </w:pPr>
      <w:r>
        <w:t>Required handover package</w:t>
      </w:r>
    </w:p>
    <w:p>
      <w:pPr>
        <w:pStyle w:val="ListBullet"/>
        <w:spacing w:after="100"/>
      </w:pPr>
      <w:r>
        <w:t>Reviewed source changes and pinned dependencies; release notes; safe migration/rollback scripts; reproducible builds.</w:t>
      </w:r>
    </w:p>
    <w:p>
      <w:pPr>
        <w:pStyle w:val="ListBullet"/>
        <w:spacing w:after="100"/>
      </w:pPr>
      <w:r>
        <w:t>Issue register showing fixed, reproduced, deferred and not-reproduced items with evidence and owner.</w:t>
      </w:r>
    </w:p>
    <w:p>
      <w:pPr>
        <w:pStyle w:val="ListBullet"/>
        <w:spacing w:after="100"/>
      </w:pPr>
      <w:r>
        <w:t>Physical-device/browser acceptance results, audio timing, call traces, tenant/billing tests and measured capacity limits.</w:t>
      </w:r>
    </w:p>
    <w:p>
      <w:pPr>
        <w:pStyle w:val="ListBullet"/>
        <w:spacing w:after="100"/>
      </w:pPr>
      <w:r>
        <w:t>Updated architecture, feature guides, environment-variable inventory without values, deployment runbooks and monitoring/alert ownership.</w:t>
      </w:r>
    </w:p>
    <w:p>
      <w:pPr>
        <w:pStyle w:val="Heading2"/>
      </w:pPr>
      <w:r>
        <w:t>Decisions to record at kickoff</w:t>
      </w:r>
    </w:p>
    <w:p>
      <w:r>
        <w:t>Confirm the active edge and supported platforms; which conditional features ship; performance thresholds and load profile; external provider credentials/limits; test window; commercial scope, budget and timeline; and who signs off security, audio quality and production release.</w:t>
      </w:r>
    </w:p>
    <w:p>
      <w:pPr>
        <w:pStyle w:val="Heading1"/>
        <w:pageBreakBefore/>
      </w:pPr>
      <w:r>
        <w:t>11 Code Navigation and Function Map</w:t>
      </w:r>
    </w:p>
    <w:p>
      <w:r>
        <w:t>Paths below are relative to the repository root so the document remains usable on any developer workstation. Public URL entry points remain under frontend/api; most implementation code is organized by feature. The shared folders hold cross-feature infrastructure rather than customer features.</w:t>
      </w:r>
    </w:p>
    <w:p>
      <w:pPr>
        <w:spacing w:after="80"/>
      </w:pPr>
      <w:r>
        <w:rPr>
          <w:rFonts w:ascii="Liberation Mono" w:hAnsi="Liberation Mono"/>
          <w:sz w:val="17"/>
        </w:rPr>
        <w:t>B = frontend/api/_lib/features/</w:t>
      </w:r>
    </w:p>
    <w:p>
      <w:pPr>
        <w:spacing w:after="80"/>
      </w:pPr>
      <w:r>
        <w:rPr>
          <w:rFonts w:ascii="Liberation Mono" w:hAnsi="Liberation Mono"/>
          <w:sz w:val="17"/>
        </w:rPr>
        <w:t>W = frontend/src/features/</w:t>
      </w:r>
    </w:p>
    <w:p>
      <w:pPr>
        <w:spacing w:after="80"/>
      </w:pPr>
      <w:r>
        <w:rPr>
          <w:rFonts w:ascii="Liberation Mono" w:hAnsi="Liberation Mono"/>
          <w:sz w:val="17"/>
        </w:rPr>
        <w:t>M = mobile/src/features/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41"/>
        <w:gridCol w:w="4493"/>
        <w:gridCol w:w="3802"/>
      </w:tblGrid>
      <w:tr>
        <w:trPr>
          <w:cantSplit/>
          <w:tblHeader/>
        </w:trPr>
        <w:tc>
          <w:tcPr>
            <w:tcW w:type="dxa" w:w="1541"/>
            <w:vAlign w:val="center"/>
            <w:tcMar>
              <w:top w:w="95" w:type="dxa"/>
              <w:bottom w:w="95" w:type="dxa"/>
              <w:left w:w="110" w:type="dxa"/>
              <w:right w:w="110" w:type="dxa"/>
            </w:tcMar>
            <w:shd w:fill="DCEAF5"/>
          </w:tcPr>
          <w:p>
            <w:pPr>
              <w:spacing w:after="0" w:line="259" w:lineRule="auto"/>
            </w:pPr>
            <w:r>
              <w:rPr>
                <w:b/>
                <w:color w:val="000000"/>
                <w:sz w:val="18"/>
              </w:rPr>
              <w:t>Concern</w:t>
            </w:r>
          </w:p>
        </w:tc>
        <w:tc>
          <w:tcPr>
            <w:tcW w:type="dxa" w:w="4493"/>
            <w:vAlign w:val="center"/>
            <w:tcMar>
              <w:top w:w="95" w:type="dxa"/>
              <w:bottom w:w="95" w:type="dxa"/>
              <w:left w:w="110" w:type="dxa"/>
              <w:right w:w="110" w:type="dxa"/>
            </w:tcMar>
            <w:shd w:fill="DCEAF5"/>
          </w:tcPr>
          <w:p>
            <w:pPr>
              <w:spacing w:after="0" w:line="259" w:lineRule="auto"/>
            </w:pPr>
            <w:r>
              <w:rPr>
                <w:b/>
                <w:color w:val="000000"/>
                <w:sz w:val="18"/>
              </w:rPr>
              <w:t>Start here</w:t>
            </w:r>
          </w:p>
        </w:tc>
        <w:tc>
          <w:tcPr>
            <w:tcW w:type="dxa" w:w="3802"/>
            <w:vAlign w:val="center"/>
            <w:tcMar>
              <w:top w:w="95" w:type="dxa"/>
              <w:bottom w:w="95" w:type="dxa"/>
              <w:left w:w="110" w:type="dxa"/>
              <w:right w:w="110" w:type="dxa"/>
            </w:tcMar>
            <w:shd w:fill="DCEAF5"/>
          </w:tcPr>
          <w:p>
            <w:pPr>
              <w:spacing w:after="0" w:line="259" w:lineRule="auto"/>
            </w:pPr>
            <w:r>
              <w:rPr>
                <w:b/>
                <w:color w:val="000000"/>
                <w:sz w:val="18"/>
              </w:rPr>
              <w:t>Function or collaboration</w:t>
            </w:r>
          </w:p>
        </w:tc>
      </w:tr>
      <w:tr>
        <w:trPr>
          <w:cantSplit/>
        </w:trPr>
        <w:tc>
          <w:tcPr>
            <w:tcW w:type="dxa" w:w="1541"/>
            <w:vAlign w:val="center"/>
            <w:tcMar>
              <w:top w:w="95" w:type="dxa"/>
              <w:bottom w:w="95" w:type="dxa"/>
              <w:left w:w="110" w:type="dxa"/>
              <w:right w:w="110" w:type="dxa"/>
            </w:tcMar>
            <w:shd w:fill="FFFFFF"/>
          </w:tcPr>
          <w:p>
            <w:pPr>
              <w:spacing w:after="0" w:line="259" w:lineRule="auto"/>
            </w:pPr>
            <w:r>
              <w:rPr>
                <w:b w:val="0"/>
                <w:color w:val="000000"/>
                <w:sz w:val="18"/>
              </w:rPr>
              <w:t>Access and tenant</w:t>
            </w:r>
          </w:p>
        </w:tc>
        <w:tc>
          <w:tcPr>
            <w:tcW w:type="dxa" w:w="4493"/>
            <w:vAlign w:val="center"/>
            <w:tcMar>
              <w:top w:w="95" w:type="dxa"/>
              <w:bottom w:w="95" w:type="dxa"/>
              <w:left w:w="110" w:type="dxa"/>
              <w:right w:w="110" w:type="dxa"/>
            </w:tcMar>
            <w:shd w:fill="FFFFFF"/>
          </w:tcPr>
          <w:p>
            <w:pPr>
              <w:spacing w:after="0" w:line="259" w:lineRule="auto"/>
            </w:pPr>
            <w:r>
              <w:rPr>
                <w:b w:val="0"/>
                <w:color w:val="000000"/>
                <w:sz w:val="18"/>
              </w:rPr>
              <w:t>B/auth/auth.ts</w:t>
              <w:br/>
              <w:t>B/organizations/tenancy.ts</w:t>
              <w:br/>
              <w:t>B/organizations/saas-access.ts</w:t>
            </w:r>
          </w:p>
        </w:tc>
        <w:tc>
          <w:tcPr>
            <w:tcW w:type="dxa" w:w="3802"/>
            <w:vAlign w:val="center"/>
            <w:tcMar>
              <w:top w:w="95" w:type="dxa"/>
              <w:bottom w:w="95" w:type="dxa"/>
              <w:left w:w="110" w:type="dxa"/>
              <w:right w:w="110" w:type="dxa"/>
            </w:tcMar>
            <w:shd w:fill="FFFFFF"/>
          </w:tcPr>
          <w:p>
            <w:pPr>
              <w:spacing w:after="0" w:line="259" w:lineRule="auto"/>
            </w:pPr>
            <w:r>
              <w:rPr>
                <w:b w:val="0"/>
                <w:color w:val="000000"/>
                <w:sz w:val="18"/>
              </w:rPr>
              <w:t>requireSession / requireAdmin verify callers; sessionOrganizationId resolves scope; requireFeature enforces entitlement.</w:t>
            </w:r>
          </w:p>
        </w:tc>
      </w:tr>
      <w:tr>
        <w:trPr>
          <w:cantSplit/>
        </w:trPr>
        <w:tc>
          <w:tcPr>
            <w:tcW w:type="dxa" w:w="1541"/>
            <w:vAlign w:val="center"/>
            <w:tcMar>
              <w:top w:w="95" w:type="dxa"/>
              <w:bottom w:w="95" w:type="dxa"/>
              <w:left w:w="110" w:type="dxa"/>
              <w:right w:w="110" w:type="dxa"/>
            </w:tcMar>
            <w:shd w:fill="F5F7FA"/>
          </w:tcPr>
          <w:p>
            <w:pPr>
              <w:spacing w:after="0" w:line="259" w:lineRule="auto"/>
            </w:pPr>
            <w:r>
              <w:rPr>
                <w:b w:val="0"/>
                <w:color w:val="000000"/>
                <w:sz w:val="18"/>
              </w:rPr>
              <w:t>Company directory</w:t>
            </w:r>
          </w:p>
        </w:tc>
        <w:tc>
          <w:tcPr>
            <w:tcW w:type="dxa" w:w="4493"/>
            <w:vAlign w:val="center"/>
            <w:tcMar>
              <w:top w:w="95" w:type="dxa"/>
              <w:bottom w:w="95" w:type="dxa"/>
              <w:left w:w="110" w:type="dxa"/>
              <w:right w:w="110" w:type="dxa"/>
            </w:tcMar>
            <w:shd w:fill="F5F7FA"/>
          </w:tcPr>
          <w:p>
            <w:pPr>
              <w:spacing w:after="0" w:line="259" w:lineRule="auto"/>
            </w:pPr>
            <w:r>
              <w:rPr>
                <w:b w:val="0"/>
                <w:color w:val="000000"/>
                <w:sz w:val="18"/>
              </w:rPr>
              <w:t>B/organizations/pbx.ts</w:t>
              <w:br/>
              <w:t>B/organizations/saas-store.ts</w:t>
              <w:br/>
              <w:t>B/organizations/pbx-config-store.ts</w:t>
            </w:r>
          </w:p>
        </w:tc>
        <w:tc>
          <w:tcPr>
            <w:tcW w:type="dxa" w:w="3802"/>
            <w:vAlign w:val="center"/>
            <w:tcMar>
              <w:top w:w="95" w:type="dxa"/>
              <w:bottom w:w="95" w:type="dxa"/>
              <w:left w:w="110" w:type="dxa"/>
              <w:right w:w="110" w:type="dxa"/>
            </w:tcMar>
            <w:shd w:fill="F5F7FA"/>
          </w:tcPr>
          <w:p>
            <w:pPr>
              <w:spacing w:after="0" w:line="259" w:lineRule="auto"/>
            </w:pPr>
            <w:r>
              <w:rPr>
                <w:b w:val="0"/>
                <w:color w:val="000000"/>
                <w:sz w:val="18"/>
              </w:rPr>
              <w:t>listExtensions and create/update/delete routines manage users; effectiveEntitlements joins plans and overrides; PBX config controls tenant routing.</w:t>
            </w:r>
          </w:p>
        </w:tc>
      </w:tr>
      <w:tr>
        <w:trPr>
          <w:cantSplit/>
        </w:trPr>
        <w:tc>
          <w:tcPr>
            <w:tcW w:type="dxa" w:w="1541"/>
            <w:vAlign w:val="center"/>
            <w:tcMar>
              <w:top w:w="95" w:type="dxa"/>
              <w:bottom w:w="95" w:type="dxa"/>
              <w:left w:w="110" w:type="dxa"/>
              <w:right w:w="110" w:type="dxa"/>
            </w:tcMar>
            <w:shd w:fill="FFFFFF"/>
          </w:tcPr>
          <w:p>
            <w:pPr>
              <w:spacing w:after="0" w:line="259" w:lineRule="auto"/>
            </w:pPr>
            <w:r>
              <w:rPr>
                <w:b w:val="0"/>
                <w:color w:val="000000"/>
                <w:sz w:val="18"/>
              </w:rPr>
              <w:t>Call admission</w:t>
            </w:r>
          </w:p>
        </w:tc>
        <w:tc>
          <w:tcPr>
            <w:tcW w:type="dxa" w:w="4493"/>
            <w:vAlign w:val="center"/>
            <w:tcMar>
              <w:top w:w="95" w:type="dxa"/>
              <w:bottom w:w="95" w:type="dxa"/>
              <w:left w:w="110" w:type="dxa"/>
              <w:right w:w="110" w:type="dxa"/>
            </w:tcMar>
            <w:shd w:fill="FFFFFF"/>
          </w:tcPr>
          <w:p>
            <w:pPr>
              <w:spacing w:after="0" w:line="259" w:lineRule="auto"/>
            </w:pPr>
            <w:r>
              <w:rPr>
                <w:b w:val="0"/>
                <w:color w:val="000000"/>
                <w:sz w:val="18"/>
              </w:rPr>
              <w:t>B/calling/routes/voice-route.ts</w:t>
              <w:br/>
              <w:t>B/calling/voice-provider.ts</w:t>
              <w:br/>
              <w:t>B/sip/sip-registration-auth.ts</w:t>
            </w:r>
          </w:p>
        </w:tc>
        <w:tc>
          <w:tcPr>
            <w:tcW w:type="dxa" w:w="3802"/>
            <w:vAlign w:val="center"/>
            <w:tcMar>
              <w:top w:w="95" w:type="dxa"/>
              <w:bottom w:w="95" w:type="dxa"/>
              <w:left w:w="110" w:type="dxa"/>
              <w:right w:w="110" w:type="dxa"/>
            </w:tcMar>
            <w:shd w:fill="FFFFFF"/>
          </w:tcPr>
          <w:p>
            <w:pPr>
              <w:spacing w:after="0" w:line="259" w:lineRule="auto"/>
            </w:pPr>
            <w:r>
              <w:rPr>
                <w:b w:val="0"/>
                <w:color w:val="000000"/>
                <w:sz w:val="18"/>
              </w:rPr>
              <w:t>Select edge, authorize source/target, issue signed route; ownsSipRegistration binds registration identities.</w:t>
            </w:r>
          </w:p>
        </w:tc>
      </w:tr>
      <w:tr>
        <w:trPr>
          <w:cantSplit/>
        </w:trPr>
        <w:tc>
          <w:tcPr>
            <w:tcW w:type="dxa" w:w="1541"/>
            <w:vAlign w:val="center"/>
            <w:tcMar>
              <w:top w:w="95" w:type="dxa"/>
              <w:bottom w:w="95" w:type="dxa"/>
              <w:left w:w="110" w:type="dxa"/>
              <w:right w:w="110" w:type="dxa"/>
            </w:tcMar>
            <w:shd w:fill="F5F7FA"/>
          </w:tcPr>
          <w:p>
            <w:pPr>
              <w:spacing w:after="0" w:line="259" w:lineRule="auto"/>
            </w:pPr>
            <w:r>
              <w:rPr>
                <w:b w:val="0"/>
                <w:color w:val="000000"/>
                <w:sz w:val="18"/>
              </w:rPr>
              <w:t>Web call runtime</w:t>
            </w:r>
          </w:p>
        </w:tc>
        <w:tc>
          <w:tcPr>
            <w:tcW w:type="dxa" w:w="4493"/>
            <w:vAlign w:val="center"/>
            <w:tcMar>
              <w:top w:w="95" w:type="dxa"/>
              <w:bottom w:w="95" w:type="dxa"/>
              <w:left w:w="110" w:type="dxa"/>
              <w:right w:w="110" w:type="dxa"/>
            </w:tcMar>
            <w:shd w:fill="F5F7FA"/>
          </w:tcPr>
          <w:p>
            <w:pPr>
              <w:spacing w:after="0" w:line="259" w:lineRule="auto"/>
            </w:pPr>
            <w:r>
              <w:rPr>
                <w:b w:val="0"/>
                <w:color w:val="000000"/>
                <w:sz w:val="18"/>
              </w:rPr>
              <w:t>W/calling/hooks/useVoice.js</w:t>
              <w:br/>
              <w:t>W/calling/hooks/useSipVoice.js</w:t>
              <w:br/>
              <w:t>W/calling/hooks/useTelnyxVoice.js</w:t>
            </w:r>
          </w:p>
        </w:tc>
        <w:tc>
          <w:tcPr>
            <w:tcW w:type="dxa" w:w="3802"/>
            <w:vAlign w:val="center"/>
            <w:tcMar>
              <w:top w:w="95" w:type="dxa"/>
              <w:bottom w:w="95" w:type="dxa"/>
              <w:left w:w="110" w:type="dxa"/>
              <w:right w:w="110" w:type="dxa"/>
            </w:tcMar>
            <w:shd w:fill="F5F7FA"/>
          </w:tcPr>
          <w:p>
            <w:pPr>
              <w:spacing w:after="0" w:line="259" w:lineRule="auto"/>
            </w:pPr>
            <w:r>
              <w:rPr>
                <w:b w:val="0"/>
                <w:color w:val="000000"/>
                <w:sz w:val="18"/>
              </w:rPr>
              <w:t>Hook selection and engine events drive components; calling/engine modules own registration, media and lifecycle helpers.</w:t>
            </w:r>
          </w:p>
        </w:tc>
      </w:tr>
      <w:tr>
        <w:trPr>
          <w:cantSplit/>
        </w:trPr>
        <w:tc>
          <w:tcPr>
            <w:tcW w:type="dxa" w:w="1541"/>
            <w:vAlign w:val="center"/>
            <w:tcMar>
              <w:top w:w="95" w:type="dxa"/>
              <w:bottom w:w="95" w:type="dxa"/>
              <w:left w:w="110" w:type="dxa"/>
              <w:right w:w="110" w:type="dxa"/>
            </w:tcMar>
            <w:shd w:fill="FFFFFF"/>
          </w:tcPr>
          <w:p>
            <w:pPr>
              <w:spacing w:after="0" w:line="259" w:lineRule="auto"/>
            </w:pPr>
            <w:r>
              <w:rPr>
                <w:b w:val="0"/>
                <w:color w:val="000000"/>
                <w:sz w:val="18"/>
              </w:rPr>
              <w:t>Mobile call runtime</w:t>
            </w:r>
          </w:p>
        </w:tc>
        <w:tc>
          <w:tcPr>
            <w:tcW w:type="dxa" w:w="4493"/>
            <w:vAlign w:val="center"/>
            <w:tcMar>
              <w:top w:w="95" w:type="dxa"/>
              <w:bottom w:w="95" w:type="dxa"/>
              <w:left w:w="110" w:type="dxa"/>
              <w:right w:w="110" w:type="dxa"/>
            </w:tcMar>
            <w:shd w:fill="FFFFFF"/>
          </w:tcPr>
          <w:p>
            <w:pPr>
              <w:spacing w:after="0" w:line="259" w:lineRule="auto"/>
            </w:pPr>
            <w:r>
              <w:rPr>
                <w:b w:val="0"/>
                <w:color w:val="000000"/>
                <w:sz w:val="18"/>
              </w:rPr>
              <w:t>M/calling/VoiceContext.tsx</w:t>
              <w:br/>
              <w:t>M/calling/engine/useVoiceRegistration.ts</w:t>
              <w:br/>
              <w:t>M/calling/runtime/sipNative.ts</w:t>
            </w:r>
          </w:p>
        </w:tc>
        <w:tc>
          <w:tcPr>
            <w:tcW w:type="dxa" w:w="3802"/>
            <w:vAlign w:val="center"/>
            <w:tcMar>
              <w:top w:w="95" w:type="dxa"/>
              <w:bottom w:w="95" w:type="dxa"/>
              <w:left w:w="110" w:type="dxa"/>
              <w:right w:w="110" w:type="dxa"/>
            </w:tcMar>
            <w:shd w:fill="FFFFFF"/>
          </w:tcPr>
          <w:p>
            <w:pPr>
              <w:spacing w:after="0" w:line="259" w:lineRule="auto"/>
            </w:pPr>
            <w:r>
              <w:rPr>
                <w:b w:val="0"/>
                <w:color w:val="000000"/>
                <w:sz w:val="18"/>
              </w:rPr>
              <w:t>Context coordinates actions; registration hook obtains/renews credentials; ensureSipRegistration single-flights secure startup.</w:t>
            </w:r>
          </w:p>
        </w:tc>
      </w:tr>
      <w:tr>
        <w:trPr>
          <w:cantSplit/>
        </w:trPr>
        <w:tc>
          <w:tcPr>
            <w:tcW w:type="dxa" w:w="1541"/>
            <w:vAlign w:val="center"/>
            <w:tcMar>
              <w:top w:w="95" w:type="dxa"/>
              <w:bottom w:w="95" w:type="dxa"/>
              <w:left w:w="110" w:type="dxa"/>
              <w:right w:w="110" w:type="dxa"/>
            </w:tcMar>
            <w:shd w:fill="F5F7FA"/>
          </w:tcPr>
          <w:p>
            <w:pPr>
              <w:spacing w:after="0" w:line="259" w:lineRule="auto"/>
            </w:pPr>
            <w:r>
              <w:rPr>
                <w:b w:val="0"/>
                <w:color w:val="000000"/>
                <w:sz w:val="18"/>
              </w:rPr>
              <w:t>Native and call state</w:t>
            </w:r>
          </w:p>
        </w:tc>
        <w:tc>
          <w:tcPr>
            <w:tcW w:type="dxa" w:w="4493"/>
            <w:vAlign w:val="center"/>
            <w:tcMar>
              <w:top w:w="95" w:type="dxa"/>
              <w:bottom w:w="95" w:type="dxa"/>
              <w:left w:w="110" w:type="dxa"/>
              <w:right w:w="110" w:type="dxa"/>
            </w:tcMar>
            <w:shd w:fill="F5F7FA"/>
          </w:tcPr>
          <w:p>
            <w:pPr>
              <w:spacing w:after="0" w:line="259" w:lineRule="auto"/>
            </w:pPr>
            <w:r>
              <w:rPr>
                <w:b w:val="0"/>
                <w:color w:val="000000"/>
                <w:sz w:val="18"/>
              </w:rPr>
              <w:t>M/calling/engine/callUi.ts</w:t>
              <w:br/>
              <w:t>M/calling/state/callLifecycle.ts</w:t>
              <w:br/>
              <w:t>mobile/native/ and mobile/plugins/</w:t>
            </w:r>
          </w:p>
        </w:tc>
        <w:tc>
          <w:tcPr>
            <w:tcW w:type="dxa" w:w="3802"/>
            <w:vAlign w:val="center"/>
            <w:tcMar>
              <w:top w:w="95" w:type="dxa"/>
              <w:bottom w:w="95" w:type="dxa"/>
              <w:left w:w="110" w:type="dxa"/>
              <w:right w:w="110" w:type="dxa"/>
            </w:tcMar>
            <w:shd w:fill="F5F7FA"/>
          </w:tcPr>
          <w:p>
            <w:pPr>
              <w:spacing w:after="0" w:line="259" w:lineRule="auto"/>
            </w:pPr>
            <w:r>
              <w:rPr>
                <w:b w:val="0"/>
                <w:color w:val="000000"/>
                <w:sz w:val="18"/>
              </w:rPr>
              <w:t>bindCallUi queues native actions; lifecycle guards operation races; Swift/Kotlin modules own OS integration.</w:t>
            </w:r>
          </w:p>
        </w:tc>
      </w:tr>
      <w:tr>
        <w:trPr>
          <w:cantSplit/>
        </w:trPr>
        <w:tc>
          <w:tcPr>
            <w:tcW w:type="dxa" w:w="1541"/>
            <w:vAlign w:val="center"/>
            <w:tcMar>
              <w:top w:w="95" w:type="dxa"/>
              <w:bottom w:w="95" w:type="dxa"/>
              <w:left w:w="110" w:type="dxa"/>
              <w:right w:w="110" w:type="dxa"/>
            </w:tcMar>
            <w:shd w:fill="FFFFFF"/>
          </w:tcPr>
          <w:p>
            <w:pPr>
              <w:spacing w:after="0" w:line="259" w:lineRule="auto"/>
            </w:pPr>
            <w:r>
              <w:rPr>
                <w:b w:val="0"/>
                <w:color w:val="000000"/>
                <w:sz w:val="18"/>
              </w:rPr>
              <w:t>Wallet and SMS</w:t>
            </w:r>
          </w:p>
        </w:tc>
        <w:tc>
          <w:tcPr>
            <w:tcW w:type="dxa" w:w="4493"/>
            <w:vAlign w:val="center"/>
            <w:tcMar>
              <w:top w:w="95" w:type="dxa"/>
              <w:bottom w:w="95" w:type="dxa"/>
              <w:left w:w="110" w:type="dxa"/>
              <w:right w:w="110" w:type="dxa"/>
            </w:tcMar>
            <w:shd w:fill="FFFFFF"/>
          </w:tcPr>
          <w:p>
            <w:pPr>
              <w:spacing w:after="0" w:line="259" w:lineRule="auto"/>
            </w:pPr>
            <w:r>
              <w:rPr>
                <w:b w:val="0"/>
                <w:color w:val="000000"/>
                <w:sz w:val="18"/>
              </w:rPr>
              <w:t>B/billing/wallet-store.ts</w:t>
              <w:br/>
              <w:t>B/messaging/message-store.ts</w:t>
            </w:r>
          </w:p>
        </w:tc>
        <w:tc>
          <w:tcPr>
            <w:tcW w:type="dxa" w:w="3802"/>
            <w:vAlign w:val="center"/>
            <w:tcMar>
              <w:top w:w="95" w:type="dxa"/>
              <w:bottom w:w="95" w:type="dxa"/>
              <w:left w:w="110" w:type="dxa"/>
              <w:right w:w="110" w:type="dxa"/>
            </w:tcMar>
            <w:shd w:fill="FFFFFF"/>
          </w:tcPr>
          <w:p>
            <w:pPr>
              <w:spacing w:after="0" w:line="259" w:lineRule="auto"/>
            </w:pPr>
            <w:r>
              <w:rPr>
                <w:b w:val="0"/>
                <w:color w:val="000000"/>
                <w:sz w:val="18"/>
              </w:rPr>
              <w:t>recordWalletAdjustment applies ledger work; retailRateFromWholesale prices usage; storeMessageEvent scopes and deduplicates events.</w:t>
            </w:r>
          </w:p>
        </w:tc>
      </w:tr>
      <w:tr>
        <w:trPr>
          <w:cantSplit/>
        </w:trPr>
        <w:tc>
          <w:tcPr>
            <w:tcW w:type="dxa" w:w="1541"/>
            <w:vAlign w:val="center"/>
            <w:tcMar>
              <w:top w:w="95" w:type="dxa"/>
              <w:bottom w:w="95" w:type="dxa"/>
              <w:left w:w="110" w:type="dxa"/>
              <w:right w:w="110" w:type="dxa"/>
            </w:tcMar>
            <w:shd w:fill="F5F7FA"/>
          </w:tcPr>
          <w:p>
            <w:pPr>
              <w:spacing w:after="0" w:line="259" w:lineRule="auto"/>
            </w:pPr>
            <w:r>
              <w:rPr>
                <w:b w:val="0"/>
                <w:color w:val="000000"/>
                <w:sz w:val="18"/>
              </w:rPr>
              <w:t>AI and dialplan</w:t>
            </w:r>
          </w:p>
        </w:tc>
        <w:tc>
          <w:tcPr>
            <w:tcW w:type="dxa" w:w="4493"/>
            <w:vAlign w:val="center"/>
            <w:tcMar>
              <w:top w:w="95" w:type="dxa"/>
              <w:bottom w:w="95" w:type="dxa"/>
              <w:left w:w="110" w:type="dxa"/>
              <w:right w:w="110" w:type="dxa"/>
            </w:tcMar>
            <w:shd w:fill="F5F7FA"/>
          </w:tcPr>
          <w:p>
            <w:pPr>
              <w:spacing w:after="0" w:line="259" w:lineRule="auto"/>
            </w:pPr>
            <w:r>
              <w:rPr>
                <w:b w:val="0"/>
                <w:color w:val="000000"/>
                <w:sz w:val="18"/>
              </w:rPr>
              <w:t>B/ai/receptionist.ts</w:t>
              <w:br/>
              <w:t>B/sip/sip-dialplan.ts</w:t>
              <w:br/>
              <w:t>services/receptionist/app/call.py</w:t>
            </w:r>
          </w:p>
        </w:tc>
        <w:tc>
          <w:tcPr>
            <w:tcW w:type="dxa" w:w="3802"/>
            <w:vAlign w:val="center"/>
            <w:tcMar>
              <w:top w:w="95" w:type="dxa"/>
              <w:bottom w:w="95" w:type="dxa"/>
              <w:left w:w="110" w:type="dxa"/>
              <w:right w:w="110" w:type="dxa"/>
            </w:tcMar>
            <w:shd w:fill="F5F7FA"/>
          </w:tcPr>
          <w:p>
            <w:pPr>
              <w:spacing w:after="0" w:line="259" w:lineRule="auto"/>
            </w:pPr>
            <w:r>
              <w:rPr>
                <w:b w:val="0"/>
                <w:color w:val="000000"/>
                <w:sz w:val="18"/>
              </w:rPr>
              <w:t>receptionistFor / transferTargets scope AI; dialplan renders routing; CallHandler handles listen/think/speak and transfer.</w:t>
            </w:r>
          </w:p>
        </w:tc>
      </w:tr>
    </w:tbl>
    <w:p>
      <w:pPr>
        <w:spacing w:after="20"/>
      </w:pPr>
      <w:r/>
    </w:p>
    <w:p>
      <w:pPr>
        <w:pStyle w:val="Heading2"/>
      </w:pPr>
      <w:r>
        <w:t>Supporting sources and revision</w:t>
      </w:r>
    </w:p>
    <w:p>
      <w:r>
        <w:t>Start with ARCHITECTURE.md, docs/FEATURES.md and feature READMEs. Check dependencies in frontend/package.json and mobile/package.json, and deployment in services/sip/docker-compose.yml, services/sip/kamailio/kamailio.cfg, FreeSWITCH XML and .github/workflows/.</w:t>
      </w:r>
    </w:p>
    <w:p>
      <w:pPr>
        <w:spacing w:after="80"/>
      </w:pPr>
      <w:r>
        <w:rPr>
          <w:rFonts w:ascii="Liberation Mono" w:hAnsi="Liberation Mono"/>
          <w:sz w:val="17"/>
        </w:rPr>
        <w:t>Baseline SHA fca9d6fcdc9ac356a5af9eaea0ae16dd7e25502a</w:t>
      </w:r>
    </w:p>
    <w:p>
      <w:r>
        <w:rPr>
          <w:sz w:val="18"/>
        </w:rPr>
        <w:t>Repository: github.com/musa263/vocivo. Reproduce against this baseline; use function names and git history to follow later changes.</w:t>
      </w:r>
    </w:p>
    <w:sectPr w:rsidR="00FC693F" w:rsidRPr="0006063C" w:rsidSect="00034616">
      <w:footerReference w:type="default" r:id="rId9"/>
      <w:pgSz w:w="12240" w:h="15840"/>
      <w:pgMar w:top="965"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Vocivo Communications  |  PID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Calibri" w:hAnsi="Calibri"/>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20"/>
      <w:outlineLvl w:val="0"/>
    </w:pPr>
    <w:rPr>
      <w:rFonts w:asciiTheme="majorHAnsi" w:eastAsiaTheme="majorEastAsia" w:hAnsiTheme="majorHAnsi" w:cstheme="majorBidi" w:ascii="Calibri" w:hAnsi="Calibri"/>
      <w:b/>
      <w:bCs/>
      <w:i w:val="0"/>
      <w:color w:val="000000"/>
      <w:sz w:val="4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40" w:lineRule="auto" w:before="0"/>
      <w:contextualSpacing/>
    </w:pPr>
    <w:rPr>
      <w:rFonts w:asciiTheme="majorHAnsi" w:eastAsiaTheme="majorEastAsia" w:hAnsiTheme="majorHAnsi" w:cstheme="majorBidi" w:ascii="Calibri" w:hAnsi="Calibri"/>
      <w:b/>
      <w:i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Vocivo Communications Project Initiation Document</dc:title>
  <dc:subject>Existing product review and production stabilization</dc:subject>
  <dc:creator>Vocivo Communications</dc:creator>
  <cp:keywords>Vocivo, PID, developer handover, SIP, React Native, WebRTC</cp:keywords>
  <dc:description/>
  <cp:lastModifiedBy/>
  <cp:revision>1</cp:revision>
  <dcterms:created xsi:type="dcterms:W3CDTF">2013-12-23T23:15:00Z</dcterms:created>
  <dcterms:modified xsi:type="dcterms:W3CDTF">2013-12-23T23:15:00Z</dcterms:modified>
  <cp:category/>
</cp:coreProperties>
</file>