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p>
    <w:p>
      <w:pPr>
        <w:spacing w:after="160"/>
      </w:pPr>
    </w:p>
    <w:p>
      <w:pPr>
        <w:spacing w:after="160"/>
      </w:pPr>
    </w:p>
    <w:p>
      <w:pPr>
        <w:spacing w:after="160"/>
      </w:pPr>
    </w:p>
    <w:p>
      <w:pPr>
        <w:spacing w:after="80"/>
        <w:jc w:val="center"/>
      </w:pPr>
      <w:r>
        <w:rPr>
          <w:rFonts w:ascii="Arial" w:cs="Arial" w:eastAsia="Arial" w:hAnsi="Arial"/>
          <w:b/>
          <w:bCs/>
          <w:color w:val="0A7B61"/>
          <w:sz w:val="56"/>
          <w:szCs w:val="56"/>
        </w:rPr>
        <w:t xml:space="preserve">CALLGLOBE</w:t>
      </w:r>
    </w:p>
    <w:p>
      <w:pPr>
        <w:spacing w:after="40"/>
        <w:jc w:val="center"/>
      </w:pPr>
      <w:r>
        <w:rPr>
          <w:rFonts w:ascii="Arial" w:cs="Arial" w:eastAsia="Arial" w:hAnsi="Arial"/>
          <w:color w:val="1A1A2E"/>
          <w:sz w:val="28"/>
          <w:szCs w:val="28"/>
        </w:rPr>
        <w:t xml:space="preserve">Product Requirements Document</w:t>
      </w:r>
    </w:p>
    <w:p>
      <w:pPr>
        <w:spacing w:after="160"/>
      </w:pPr>
    </w:p>
    <w:p>
      <w:pPr>
        <w:spacing w:after="20"/>
        <w:jc w:val="center"/>
      </w:pPr>
      <w:r>
        <w:rPr>
          <w:rFonts w:ascii="Arial" w:cs="Arial" w:eastAsia="Arial" w:hAnsi="Arial"/>
          <w:color w:val="6B7280"/>
          <w:sz w:val="22"/>
          <w:szCs w:val="22"/>
        </w:rPr>
        <w:t xml:space="preserve">Global VoIP Calling Application</w:t>
      </w:r>
    </w:p>
    <w:p>
      <w:pPr>
        <w:spacing w:after="20"/>
        <w:jc w:val="center"/>
      </w:pPr>
      <w:r>
        <w:rPr>
          <w:rFonts w:ascii="Arial" w:cs="Arial" w:eastAsia="Arial" w:hAnsi="Arial"/>
          <w:color w:val="6B7280"/>
          <w:sz w:val="22"/>
          <w:szCs w:val="22"/>
        </w:rPr>
        <w:t xml:space="preserve">Version 1.0 | March 2026</w:t>
      </w:r>
    </w:p>
    <w:p>
      <w:pPr>
        <w:spacing w:after="160"/>
      </w:pP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1"/>
              <w:left w:val="single" w:color="D1D5DB" w:sz="1"/>
              <w:bottom w:val="single" w:color="D1D5DB" w:sz="1"/>
              <w:right w:val="single" w:color="D1D5DB" w:sz="1"/>
            </w:tcBorders>
            <w:shd w:fill="F0FAF7" w:val="clear"/>
            <w:tcMar>
              <w:top w:type="dxa" w:w="80"/>
              <w:left w:type="dxa" w:w="120"/>
              <w:bottom w:type="dxa" w:w="80"/>
              <w:right w:type="dxa" w:w="120"/>
            </w:tcMar>
          </w:tcPr>
          <w:p>
            <w:r>
              <w:rPr>
                <w:rFonts w:ascii="Arial" w:cs="Arial" w:eastAsia="Arial" w:hAnsi="Arial"/>
                <w:b/>
                <w:bCs/>
                <w:color w:val="1A1A2E"/>
                <w:sz w:val="20"/>
                <w:szCs w:val="20"/>
              </w:rPr>
              <w:t xml:space="preserve">Field</w:t>
            </w:r>
          </w:p>
        </w:tc>
        <w:tc>
          <w:tcPr>
            <w:tcW w:type="dxa" w:w="6360"/>
            <w:tcBorders>
              <w:top w:val="single" w:color="D1D5DB" w:sz="1"/>
              <w:left w:val="single" w:color="D1D5DB" w:sz="1"/>
              <w:bottom w:val="single" w:color="D1D5DB" w:sz="1"/>
              <w:right w:val="single" w:color="D1D5DB" w:sz="1"/>
            </w:tcBorders>
            <w:shd w:fill="F0FAF7" w:val="clear"/>
            <w:tcMar>
              <w:top w:type="dxa" w:w="80"/>
              <w:left w:type="dxa" w:w="120"/>
              <w:bottom w:type="dxa" w:w="80"/>
              <w:right w:type="dxa" w:w="120"/>
            </w:tcMar>
          </w:tcPr>
          <w:p>
            <w:r>
              <w:rPr>
                <w:rFonts w:ascii="Arial" w:cs="Arial" w:eastAsia="Arial" w:hAnsi="Arial"/>
                <w:b/>
                <w:bCs/>
                <w:color w:val="1A1A2E"/>
                <w:sz w:val="20"/>
                <w:szCs w:val="20"/>
              </w:rPr>
              <w:t xml:space="preserve">Value</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Document ID</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CG-PRD-2026-001</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Author</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Mousa</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Status</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Final</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Classification</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Confidential</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Target Launch</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Q2 2026</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Platform</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Mobile PWA + Native (Capacitor)</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Backend</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Supabase + Telnyx + Stripe</w:t>
            </w:r>
          </w:p>
        </w:tc>
      </w:tr>
    </w:tbl>
    <w:p>
      <w:r>
        <w:br w:type="page"/>
      </w:r>
    </w:p>
    <w:p>
      <w:pPr>
        <w:pStyle w:val="Heading1"/>
        <w:spacing w:after="200" w:before="400"/>
      </w:pPr>
      <w:r>
        <w:rPr>
          <w:rFonts w:ascii="Arial" w:cs="Arial" w:eastAsia="Arial" w:hAnsi="Arial"/>
          <w:b/>
          <w:bCs/>
          <w:color w:val="0A7B61"/>
          <w:sz w:val="32"/>
          <w:szCs w:val="32"/>
        </w:rPr>
        <w:t xml:space="preserve">1. Executive Summary</w:t>
      </w:r>
    </w:p>
    <w:p>
      <w:pPr>
        <w:spacing w:after="120"/>
      </w:pPr>
      <w:r>
        <w:rPr>
          <w:rFonts w:ascii="Arial" w:cs="Arial" w:eastAsia="Arial" w:hAnsi="Arial"/>
          <w:color w:val="374151"/>
          <w:sz w:val="21"/>
          <w:szCs w:val="21"/>
        </w:rPr>
        <w:t xml:space="preserve">CallGlobe is a global prepaid VoIP calling application that enables users to make affordable international calls, receive calls on purchased virtual numbers, and manage multiple phone numbers from a single app. The product targets diaspora communities — primarily expatriates in the GCC, Europe, and North America who regularly call family in Africa, South Asia, and Southeast Asia.</w:t>
      </w:r>
    </w:p>
    <w:p>
      <w:pPr>
        <w:spacing w:after="160"/>
      </w:pPr>
    </w:p>
    <w:p>
      <w:pPr>
        <w:spacing w:after="120"/>
      </w:pPr>
      <w:r>
        <w:rPr>
          <w:rFonts w:ascii="Arial" w:cs="Arial" w:eastAsia="Arial" w:hAnsi="Arial"/>
          <w:b/>
          <w:bCs/>
          <w:color w:val="1A1A2E"/>
          <w:sz w:val="21"/>
          <w:szCs w:val="21"/>
        </w:rPr>
        <w:t xml:space="preserve">Problem: </w:t>
      </w:r>
      <w:r>
        <w:rPr>
          <w:rFonts w:ascii="Arial" w:cs="Arial" w:eastAsia="Arial" w:hAnsi="Arial"/>
          <w:color w:val="374151"/>
          <w:sz w:val="21"/>
          <w:szCs w:val="21"/>
        </w:rPr>
        <w:t xml:space="preserve">Existing international calling apps charge $0.10-0.15/min to destinations like Nigeria, Pakistan, and the Philippines. Free alternatives (WhatsApp, Viber) require the recipient to have internet access and the same app installed — which is often not the case for family members in rural areas with no WiFi.</w:t>
      </w:r>
    </w:p>
    <w:p>
      <w:pPr>
        <w:spacing w:after="120"/>
      </w:pPr>
      <w:r>
        <w:rPr>
          <w:rFonts w:ascii="Arial" w:cs="Arial" w:eastAsia="Arial" w:hAnsi="Arial"/>
          <w:b/>
          <w:bCs/>
          <w:color w:val="1A1A2E"/>
          <w:sz w:val="21"/>
          <w:szCs w:val="21"/>
        </w:rPr>
        <w:t xml:space="preserve">Solution: </w:t>
      </w:r>
      <w:r>
        <w:rPr>
          <w:rFonts w:ascii="Arial" w:cs="Arial" w:eastAsia="Arial" w:hAnsi="Arial"/>
          <w:color w:val="374151"/>
          <w:sz w:val="21"/>
          <w:szCs w:val="21"/>
        </w:rPr>
        <w:t xml:space="preserve">CallGlobe offers calls to any phone number (mobile or landline) worldwide at 50% lower rates than competitors, with virtual number purchases enabling two-way calling. Users recharge via Stripe and calls connect through Telnyx WebRTC infrastructure.</w:t>
      </w:r>
    </w:p>
    <w:p>
      <w:pPr>
        <w:spacing w:after="120"/>
      </w:pPr>
      <w:r>
        <w:rPr>
          <w:rFonts w:ascii="Arial" w:cs="Arial" w:eastAsia="Arial" w:hAnsi="Arial"/>
          <w:b/>
          <w:bCs/>
          <w:color w:val="1A1A2E"/>
          <w:sz w:val="21"/>
          <w:szCs w:val="21"/>
        </w:rPr>
        <w:t xml:space="preserve">Business Model: </w:t>
      </w:r>
      <w:r>
        <w:rPr>
          <w:rFonts w:ascii="Arial" w:cs="Arial" w:eastAsia="Arial" w:hAnsi="Arial"/>
          <w:color w:val="374151"/>
          <w:sz w:val="21"/>
          <w:szCs w:val="21"/>
        </w:rPr>
        <w:t xml:space="preserve">Prepaid balance with per-minute billing. Revenue from call markup (2-4x wholesale rates), monthly number subscriptions ($1-2.50/mo per number), and future mobile top-up and money transfer fees.</w:t>
      </w:r>
    </w:p>
    <w:p>
      <w:pPr>
        <w:spacing w:after="160"/>
      </w:pPr>
    </w:p>
    <w:p>
      <w:pPr>
        <w:pStyle w:val="Heading2"/>
        <w:spacing w:after="150" w:before="300"/>
      </w:pPr>
      <w:r>
        <w:rPr>
          <w:rFonts w:ascii="Arial" w:cs="Arial" w:eastAsia="Arial" w:hAnsi="Arial"/>
          <w:b/>
          <w:bCs/>
          <w:color w:val="1A1A2E"/>
          <w:sz w:val="26"/>
          <w:szCs w:val="26"/>
        </w:rPr>
        <w:t xml:space="preserve">1.1 Key Metrics (Year 1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3000"/>
            <w:tcBorders>
              <w:top w:val="single" w:color="D1D5DB" w:sz="1"/>
              <w:left w:val="single" w:color="D1D5DB" w:sz="1"/>
              <w:bottom w:val="single" w:color="D1D5DB" w:sz="1"/>
              <w:right w:val="single" w:color="D1D5DB" w:sz="1"/>
            </w:tcBorders>
            <w:shd w:fill="F0FAF7" w:val="clear"/>
            <w:tcMar>
              <w:top w:type="dxa" w:w="80"/>
              <w:left w:type="dxa" w:w="120"/>
              <w:bottom w:type="dxa" w:w="80"/>
              <w:right w:type="dxa" w:w="120"/>
            </w:tcMar>
          </w:tcPr>
          <w:p>
            <w:r>
              <w:rPr>
                <w:rFonts w:ascii="Arial" w:cs="Arial" w:eastAsia="Arial" w:hAnsi="Arial"/>
                <w:b/>
                <w:bCs/>
                <w:color w:val="1A1A2E"/>
                <w:sz w:val="20"/>
                <w:szCs w:val="20"/>
              </w:rPr>
              <w:t xml:space="preserve">Metric</w:t>
            </w:r>
          </w:p>
        </w:tc>
        <w:tc>
          <w:tcPr>
            <w:tcW w:type="dxa" w:w="2000"/>
            <w:tcBorders>
              <w:top w:val="single" w:color="D1D5DB" w:sz="1"/>
              <w:left w:val="single" w:color="D1D5DB" w:sz="1"/>
              <w:bottom w:val="single" w:color="D1D5DB" w:sz="1"/>
              <w:right w:val="single" w:color="D1D5DB" w:sz="1"/>
            </w:tcBorders>
            <w:shd w:fill="F0FAF7" w:val="clear"/>
            <w:tcMar>
              <w:top w:type="dxa" w:w="80"/>
              <w:left w:type="dxa" w:w="120"/>
              <w:bottom w:type="dxa" w:w="80"/>
              <w:right w:type="dxa" w:w="120"/>
            </w:tcMar>
          </w:tcPr>
          <w:p>
            <w:r>
              <w:rPr>
                <w:rFonts w:ascii="Arial" w:cs="Arial" w:eastAsia="Arial" w:hAnsi="Arial"/>
                <w:b/>
                <w:bCs/>
                <w:color w:val="1A1A2E"/>
                <w:sz w:val="20"/>
                <w:szCs w:val="20"/>
              </w:rPr>
              <w:t xml:space="preserve">Target</w:t>
            </w:r>
          </w:p>
        </w:tc>
        <w:tc>
          <w:tcPr>
            <w:tcW w:type="dxa" w:w="4360"/>
            <w:tcBorders>
              <w:top w:val="single" w:color="D1D5DB" w:sz="1"/>
              <w:left w:val="single" w:color="D1D5DB" w:sz="1"/>
              <w:bottom w:val="single" w:color="D1D5DB" w:sz="1"/>
              <w:right w:val="single" w:color="D1D5DB" w:sz="1"/>
            </w:tcBorders>
            <w:shd w:fill="F0FAF7" w:val="clear"/>
            <w:tcMar>
              <w:top w:type="dxa" w:w="80"/>
              <w:left w:type="dxa" w:w="120"/>
              <w:bottom w:type="dxa" w:w="80"/>
              <w:right w:type="dxa" w:w="120"/>
            </w:tcMar>
          </w:tcPr>
          <w:p>
            <w:r>
              <w:rPr>
                <w:rFonts w:ascii="Arial" w:cs="Arial" w:eastAsia="Arial" w:hAnsi="Arial"/>
                <w:b/>
                <w:bCs/>
                <w:color w:val="1A1A2E"/>
                <w:sz w:val="20"/>
                <w:szCs w:val="20"/>
              </w:rPr>
              <w:t xml:space="preserve">Notes</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Active Users</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5,000</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Users making 1+ call per month</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Monthly Revenue</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$50,000</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At $10 avg spend per user</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Gross Margin</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55-60%</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After Telnyx + Stripe costs</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Avg Recharge</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$10-20</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$10 minimum enforced</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Call Minutes/User</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150-200/mo</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Based on diaspora patterns</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Numbers Purchased</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1.5 per user avg</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Nigeria + home country</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Referral Rate</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20%</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Users who invite 1+ friend</w:t>
            </w:r>
          </w:p>
        </w:tc>
      </w:tr>
    </w:tbl>
    <w:p>
      <w:r>
        <w:br w:type="page"/>
      </w:r>
    </w:p>
    <w:p>
      <w:pPr>
        <w:pStyle w:val="Heading1"/>
        <w:spacing w:after="200" w:before="400"/>
      </w:pPr>
      <w:r>
        <w:rPr>
          <w:rFonts w:ascii="Arial" w:cs="Arial" w:eastAsia="Arial" w:hAnsi="Arial"/>
          <w:b/>
          <w:bCs/>
          <w:color w:val="0A7B61"/>
          <w:sz w:val="32"/>
          <w:szCs w:val="32"/>
        </w:rPr>
        <w:t xml:space="preserve">2. Target Market &amp; User Personas</w:t>
      </w:r>
    </w:p>
    <w:p>
      <w:pPr>
        <w:pStyle w:val="Heading2"/>
        <w:spacing w:after="150" w:before="300"/>
      </w:pPr>
      <w:r>
        <w:rPr>
          <w:rFonts w:ascii="Arial" w:cs="Arial" w:eastAsia="Arial" w:hAnsi="Arial"/>
          <w:b/>
          <w:bCs/>
          <w:color w:val="1A1A2E"/>
          <w:sz w:val="26"/>
          <w:szCs w:val="26"/>
        </w:rPr>
        <w:t xml:space="preserve">2.1 Primary Market</w:t>
      </w:r>
    </w:p>
    <w:p>
      <w:pPr>
        <w:spacing w:after="120"/>
      </w:pPr>
      <w:r>
        <w:rPr>
          <w:rFonts w:ascii="Arial" w:cs="Arial" w:eastAsia="Arial" w:hAnsi="Arial"/>
          <w:color w:val="374151"/>
          <w:sz w:val="21"/>
          <w:szCs w:val="21"/>
        </w:rPr>
        <w:t xml:space="preserve">Expatriate workers and diaspora communities who need to call phone numbers (not apps) in their home countries. Key corridors:</w:t>
      </w:r>
    </w:p>
    <w:p>
      <w:pPr>
        <w:spacing w:after="160"/>
      </w:pP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2200"/>
        <w:gridCol w:w="1700"/>
        <w:gridCol w:w="1160"/>
      </w:tblGrid>
      <w:tr>
        <w:tc>
          <w:tcPr>
            <w:tcW w:type="dxa" w:w="1500"/>
            <w:tcBorders>
              <w:top w:val="single" w:color="D1D5DB" w:sz="1"/>
              <w:left w:val="single" w:color="D1D5DB" w:sz="1"/>
              <w:bottom w:val="single" w:color="D1D5DB" w:sz="1"/>
              <w:right w:val="single" w:color="D1D5DB" w:sz="1"/>
            </w:tcBorders>
            <w:shd w:fill="F0FAF7" w:val="clear"/>
            <w:tcMar>
              <w:top w:type="dxa" w:w="80"/>
              <w:left w:type="dxa" w:w="120"/>
              <w:bottom w:type="dxa" w:w="80"/>
              <w:right w:type="dxa" w:w="120"/>
            </w:tcMar>
          </w:tcPr>
          <w:p>
            <w:r>
              <w:rPr>
                <w:rFonts w:ascii="Arial" w:cs="Arial" w:eastAsia="Arial" w:hAnsi="Arial"/>
                <w:b/>
                <w:bCs/>
                <w:color w:val="1A1A2E"/>
                <w:sz w:val="20"/>
                <w:szCs w:val="20"/>
              </w:rPr>
              <w:t xml:space="preserve">Corridor</w:t>
            </w:r>
          </w:p>
        </w:tc>
        <w:tc>
          <w:tcPr>
            <w:tcW w:type="dxa" w:w="2200"/>
            <w:tcBorders>
              <w:top w:val="single" w:color="D1D5DB" w:sz="1"/>
              <w:left w:val="single" w:color="D1D5DB" w:sz="1"/>
              <w:bottom w:val="single" w:color="D1D5DB" w:sz="1"/>
              <w:right w:val="single" w:color="D1D5DB" w:sz="1"/>
            </w:tcBorders>
            <w:shd w:fill="F0FAF7" w:val="clear"/>
            <w:tcMar>
              <w:top w:type="dxa" w:w="80"/>
              <w:left w:type="dxa" w:w="120"/>
              <w:bottom w:type="dxa" w:w="80"/>
              <w:right w:type="dxa" w:w="120"/>
            </w:tcMar>
          </w:tcPr>
          <w:p>
            <w:r>
              <w:rPr>
                <w:rFonts w:ascii="Arial" w:cs="Arial" w:eastAsia="Arial" w:hAnsi="Arial"/>
                <w:b/>
                <w:bCs/>
                <w:color w:val="1A1A2E"/>
                <w:sz w:val="20"/>
                <w:szCs w:val="20"/>
              </w:rPr>
              <w:t xml:space="preserve">From</w:t>
            </w:r>
          </w:p>
        </w:tc>
        <w:tc>
          <w:tcPr>
            <w:tcW w:type="dxa" w:w="2200"/>
            <w:tcBorders>
              <w:top w:val="single" w:color="D1D5DB" w:sz="1"/>
              <w:left w:val="single" w:color="D1D5DB" w:sz="1"/>
              <w:bottom w:val="single" w:color="D1D5DB" w:sz="1"/>
              <w:right w:val="single" w:color="D1D5DB" w:sz="1"/>
            </w:tcBorders>
            <w:shd w:fill="F0FAF7" w:val="clear"/>
            <w:tcMar>
              <w:top w:type="dxa" w:w="80"/>
              <w:left w:type="dxa" w:w="120"/>
              <w:bottom w:type="dxa" w:w="80"/>
              <w:right w:type="dxa" w:w="120"/>
            </w:tcMar>
          </w:tcPr>
          <w:p>
            <w:r>
              <w:rPr>
                <w:rFonts w:ascii="Arial" w:cs="Arial" w:eastAsia="Arial" w:hAnsi="Arial"/>
                <w:b/>
                <w:bCs/>
                <w:color w:val="1A1A2E"/>
                <w:sz w:val="20"/>
                <w:szCs w:val="20"/>
              </w:rPr>
              <w:t xml:space="preserve">To</w:t>
            </w:r>
          </w:p>
        </w:tc>
        <w:tc>
          <w:tcPr>
            <w:tcW w:type="dxa" w:w="1700"/>
            <w:tcBorders>
              <w:top w:val="single" w:color="D1D5DB" w:sz="1"/>
              <w:left w:val="single" w:color="D1D5DB" w:sz="1"/>
              <w:bottom w:val="single" w:color="D1D5DB" w:sz="1"/>
              <w:right w:val="single" w:color="D1D5DB" w:sz="1"/>
            </w:tcBorders>
            <w:shd w:fill="F0FAF7" w:val="clear"/>
            <w:tcMar>
              <w:top w:type="dxa" w:w="80"/>
              <w:left w:type="dxa" w:w="120"/>
              <w:bottom w:type="dxa" w:w="80"/>
              <w:right w:type="dxa" w:w="120"/>
            </w:tcMar>
          </w:tcPr>
          <w:p>
            <w:r>
              <w:rPr>
                <w:rFonts w:ascii="Arial" w:cs="Arial" w:eastAsia="Arial" w:hAnsi="Arial"/>
                <w:b/>
                <w:bCs/>
                <w:color w:val="1A1A2E"/>
                <w:sz w:val="20"/>
                <w:szCs w:val="20"/>
              </w:rPr>
              <w:t xml:space="preserve">Expat Population</w:t>
            </w:r>
          </w:p>
        </w:tc>
        <w:tc>
          <w:tcPr>
            <w:tcW w:type="dxa" w:w="1160"/>
            <w:tcBorders>
              <w:top w:val="single" w:color="D1D5DB" w:sz="1"/>
              <w:left w:val="single" w:color="D1D5DB" w:sz="1"/>
              <w:bottom w:val="single" w:color="D1D5DB" w:sz="1"/>
              <w:right w:val="single" w:color="D1D5DB" w:sz="1"/>
            </w:tcBorders>
            <w:shd w:fill="F0FAF7" w:val="clear"/>
            <w:tcMar>
              <w:top w:type="dxa" w:w="80"/>
              <w:left w:type="dxa" w:w="120"/>
              <w:bottom w:type="dxa" w:w="80"/>
              <w:right w:type="dxa" w:w="120"/>
            </w:tcMar>
          </w:tcPr>
          <w:p>
            <w:r>
              <w:rPr>
                <w:rFonts w:ascii="Arial" w:cs="Arial" w:eastAsia="Arial" w:hAnsi="Arial"/>
                <w:b/>
                <w:bCs/>
                <w:color w:val="1A1A2E"/>
                <w:sz w:val="20"/>
                <w:szCs w:val="20"/>
              </w:rPr>
              <w:t xml:space="preserve">Priority</w:t>
            </w:r>
          </w:p>
        </w:tc>
      </w:tr>
      <w:tr>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Nigeria</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Saudi Arabia, UAE, UK, US</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Nigeria (mobile)</w:t>
            </w:r>
          </w:p>
        </w:tc>
        <w:tc>
          <w:tcPr>
            <w:tcW w:type="dxa" w:w="17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~4M in GCC</w:t>
            </w:r>
          </w:p>
        </w:tc>
        <w:tc>
          <w:tcPr>
            <w:tcW w:type="dxa" w:w="1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P0</w:t>
            </w:r>
          </w:p>
        </w:tc>
      </w:tr>
      <w:tr>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India</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Saudi Arabia, UAE, US</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India (mobile/landline)</w:t>
            </w:r>
          </w:p>
        </w:tc>
        <w:tc>
          <w:tcPr>
            <w:tcW w:type="dxa" w:w="17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~9M in GCC</w:t>
            </w:r>
          </w:p>
        </w:tc>
        <w:tc>
          <w:tcPr>
            <w:tcW w:type="dxa" w:w="1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P0</w:t>
            </w:r>
          </w:p>
        </w:tc>
      </w:tr>
      <w:tr>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Pakistan</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Saudi Arabia, UAE, UK</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Pakistan (mobile)</w:t>
            </w:r>
          </w:p>
        </w:tc>
        <w:tc>
          <w:tcPr>
            <w:tcW w:type="dxa" w:w="17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~4M in GCC</w:t>
            </w:r>
          </w:p>
        </w:tc>
        <w:tc>
          <w:tcPr>
            <w:tcW w:type="dxa" w:w="1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P0</w:t>
            </w:r>
          </w:p>
        </w:tc>
      </w:tr>
      <w:tr>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Philippines</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Saudi Arabia, UAE, HK</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Philippines (mobile)</w:t>
            </w:r>
          </w:p>
        </w:tc>
        <w:tc>
          <w:tcPr>
            <w:tcW w:type="dxa" w:w="17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~2.5M in GCC</w:t>
            </w:r>
          </w:p>
        </w:tc>
        <w:tc>
          <w:tcPr>
            <w:tcW w:type="dxa" w:w="1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P1</w:t>
            </w:r>
          </w:p>
        </w:tc>
      </w:tr>
      <w:tr>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Bangladesh</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Saudi Arabia, UAE</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Bangladesh (mobile)</w:t>
            </w:r>
          </w:p>
        </w:tc>
        <w:tc>
          <w:tcPr>
            <w:tcW w:type="dxa" w:w="17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~3M in GCC</w:t>
            </w:r>
          </w:p>
        </w:tc>
        <w:tc>
          <w:tcPr>
            <w:tcW w:type="dxa" w:w="1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P1</w:t>
            </w:r>
          </w:p>
        </w:tc>
      </w:tr>
      <w:tr>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Egypt</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Saudi Arabia, UAE</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Egypt (mobile)</w:t>
            </w:r>
          </w:p>
        </w:tc>
        <w:tc>
          <w:tcPr>
            <w:tcW w:type="dxa" w:w="17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~3M in GCC</w:t>
            </w:r>
          </w:p>
        </w:tc>
        <w:tc>
          <w:tcPr>
            <w:tcW w:type="dxa" w:w="1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P1</w:t>
            </w:r>
          </w:p>
        </w:tc>
      </w:tr>
      <w:tr>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Ethiopia</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Saudi Arabia, UAE</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Ethiopia (mobile)</w:t>
            </w:r>
          </w:p>
        </w:tc>
        <w:tc>
          <w:tcPr>
            <w:tcW w:type="dxa" w:w="17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~1M in GCC</w:t>
            </w:r>
          </w:p>
        </w:tc>
        <w:tc>
          <w:tcPr>
            <w:tcW w:type="dxa" w:w="1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P2</w:t>
            </w:r>
          </w:p>
        </w:tc>
      </w:tr>
      <w:tr>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Ghana</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US, UK</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Ghana (mobile)</w:t>
            </w:r>
          </w:p>
        </w:tc>
        <w:tc>
          <w:tcPr>
            <w:tcW w:type="dxa" w:w="17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~500K diaspora</w:t>
            </w:r>
          </w:p>
        </w:tc>
        <w:tc>
          <w:tcPr>
            <w:tcW w:type="dxa" w:w="1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P2</w:t>
            </w:r>
          </w:p>
        </w:tc>
      </w:tr>
    </w:tbl>
    <w:p>
      <w:pPr>
        <w:spacing w:after="160"/>
      </w:pPr>
    </w:p>
    <w:p>
      <w:pPr>
        <w:pStyle w:val="Heading2"/>
        <w:spacing w:after="150" w:before="300"/>
      </w:pPr>
      <w:r>
        <w:rPr>
          <w:rFonts w:ascii="Arial" w:cs="Arial" w:eastAsia="Arial" w:hAnsi="Arial"/>
          <w:b/>
          <w:bCs/>
          <w:color w:val="1A1A2E"/>
          <w:sz w:val="26"/>
          <w:szCs w:val="26"/>
        </w:rPr>
        <w:t xml:space="preserve">2.2 User Personas</w:t>
      </w:r>
    </w:p>
    <w:p>
      <w:pPr>
        <w:spacing w:after="160"/>
      </w:pPr>
    </w:p>
    <w:p>
      <w:pPr>
        <w:spacing w:after="100" w:before="200"/>
      </w:pPr>
      <w:r>
        <w:rPr>
          <w:rFonts w:ascii="Arial" w:cs="Arial" w:eastAsia="Arial" w:hAnsi="Arial"/>
          <w:b/>
          <w:bCs/>
          <w:color w:val="374151"/>
          <w:sz w:val="22"/>
          <w:szCs w:val="22"/>
        </w:rPr>
        <w:t xml:space="preserve">Persona 1: Adamu (Nigerian Expat in Saudi Arabia)</w:t>
      </w:r>
    </w:p>
    <w:p>
      <w:pPr>
        <w:spacing w:after="120"/>
      </w:pPr>
      <w:r>
        <w:rPr>
          <w:rFonts w:ascii="Arial" w:cs="Arial" w:eastAsia="Arial" w:hAnsi="Arial"/>
          <w:b/>
          <w:bCs/>
          <w:color w:val="1A1A2E"/>
          <w:sz w:val="21"/>
          <w:szCs w:val="21"/>
        </w:rPr>
        <w:t xml:space="preserve">Age: </w:t>
      </w:r>
      <w:r>
        <w:rPr>
          <w:rFonts w:ascii="Arial" w:cs="Arial" w:eastAsia="Arial" w:hAnsi="Arial"/>
          <w:color w:val="374151"/>
          <w:sz w:val="21"/>
          <w:szCs w:val="21"/>
        </w:rPr>
        <w:t xml:space="preserve">34. Works in industrial maintenance in Jubail.</w:t>
      </w:r>
    </w:p>
    <w:p>
      <w:pPr>
        <w:spacing w:after="120"/>
      </w:pPr>
      <w:r>
        <w:rPr>
          <w:rFonts w:ascii="Arial" w:cs="Arial" w:eastAsia="Arial" w:hAnsi="Arial"/>
          <w:b/>
          <w:bCs/>
          <w:color w:val="1A1A2E"/>
          <w:sz w:val="21"/>
          <w:szCs w:val="21"/>
        </w:rPr>
        <w:t xml:space="preserve">Calling Pattern: </w:t>
      </w:r>
      <w:r>
        <w:rPr>
          <w:rFonts w:ascii="Arial" w:cs="Arial" w:eastAsia="Arial" w:hAnsi="Arial"/>
          <w:color w:val="374151"/>
          <w:sz w:val="21"/>
          <w:szCs w:val="21"/>
        </w:rPr>
        <w:t xml:space="preserve">Calls mother in Lagos 3-4x/week, 10-15 min each. Brother in Abuja weekly. Total ~200 min/month.</w:t>
      </w:r>
    </w:p>
    <w:p>
      <w:pPr>
        <w:spacing w:after="120"/>
      </w:pPr>
      <w:r>
        <w:rPr>
          <w:rFonts w:ascii="Arial" w:cs="Arial" w:eastAsia="Arial" w:hAnsi="Arial"/>
          <w:b/>
          <w:bCs/>
          <w:color w:val="1A1A2E"/>
          <w:sz w:val="21"/>
          <w:szCs w:val="21"/>
        </w:rPr>
        <w:t xml:space="preserve">Current Solution: </w:t>
      </w:r>
      <w:r>
        <w:rPr>
          <w:rFonts w:ascii="Arial" w:cs="Arial" w:eastAsia="Arial" w:hAnsi="Arial"/>
          <w:color w:val="374151"/>
          <w:sz w:val="21"/>
          <w:szCs w:val="21"/>
        </w:rPr>
        <w:t xml:space="preserve">Uses a calling app that charges $0.12/min. Spends ~$24/month.</w:t>
      </w:r>
    </w:p>
    <w:p>
      <w:pPr>
        <w:spacing w:after="120"/>
      </w:pPr>
      <w:r>
        <w:rPr>
          <w:rFonts w:ascii="Arial" w:cs="Arial" w:eastAsia="Arial" w:hAnsi="Arial"/>
          <w:b/>
          <w:bCs/>
          <w:color w:val="1A1A2E"/>
          <w:sz w:val="21"/>
          <w:szCs w:val="21"/>
        </w:rPr>
        <w:t xml:space="preserve">Pain Points: </w:t>
      </w:r>
      <w:r>
        <w:rPr>
          <w:rFonts w:ascii="Arial" w:cs="Arial" w:eastAsia="Arial" w:hAnsi="Arial"/>
          <w:color w:val="374151"/>
          <w:sz w:val="21"/>
          <w:szCs w:val="21"/>
        </w:rPr>
        <w:t xml:space="preserve">Expensive rates, poor call quality, mother does not have WiFi or WhatsApp.</w:t>
      </w:r>
    </w:p>
    <w:p>
      <w:pPr>
        <w:spacing w:after="120"/>
      </w:pPr>
      <w:r>
        <w:rPr>
          <w:rFonts w:ascii="Arial" w:cs="Arial" w:eastAsia="Arial" w:hAnsi="Arial"/>
          <w:b/>
          <w:bCs/>
          <w:color w:val="1A1A2E"/>
          <w:sz w:val="21"/>
          <w:szCs w:val="21"/>
        </w:rPr>
        <w:t xml:space="preserve">CallGlobe Value: </w:t>
      </w:r>
      <w:r>
        <w:rPr>
          <w:rFonts w:ascii="Arial" w:cs="Arial" w:eastAsia="Arial" w:hAnsi="Arial"/>
          <w:color w:val="374151"/>
          <w:sz w:val="21"/>
          <w:szCs w:val="21"/>
        </w:rPr>
        <w:t xml:space="preserve">Same calls for ~$12/month (50% savings). Nigerian number so family can call him locally.</w:t>
      </w:r>
    </w:p>
    <w:p>
      <w:pPr>
        <w:spacing w:after="160"/>
      </w:pPr>
    </w:p>
    <w:p>
      <w:pPr>
        <w:spacing w:after="100" w:before="200"/>
      </w:pPr>
      <w:r>
        <w:rPr>
          <w:rFonts w:ascii="Arial" w:cs="Arial" w:eastAsia="Arial" w:hAnsi="Arial"/>
          <w:b/>
          <w:bCs/>
          <w:color w:val="374151"/>
          <w:sz w:val="22"/>
          <w:szCs w:val="22"/>
        </w:rPr>
        <w:t xml:space="preserve">Persona 2: Priya (Indian Nurse in UAE)</w:t>
      </w:r>
    </w:p>
    <w:p>
      <w:pPr>
        <w:spacing w:after="120"/>
      </w:pPr>
      <w:r>
        <w:rPr>
          <w:rFonts w:ascii="Arial" w:cs="Arial" w:eastAsia="Arial" w:hAnsi="Arial"/>
          <w:b/>
          <w:bCs/>
          <w:color w:val="1A1A2E"/>
          <w:sz w:val="21"/>
          <w:szCs w:val="21"/>
        </w:rPr>
        <w:t xml:space="preserve">Age: </w:t>
      </w:r>
      <w:r>
        <w:rPr>
          <w:rFonts w:ascii="Arial" w:cs="Arial" w:eastAsia="Arial" w:hAnsi="Arial"/>
          <w:color w:val="374151"/>
          <w:sz w:val="21"/>
          <w:szCs w:val="21"/>
        </w:rPr>
        <w:t xml:space="preserve">28. Works at a hospital in Dubai.</w:t>
      </w:r>
    </w:p>
    <w:p>
      <w:pPr>
        <w:spacing w:after="120"/>
      </w:pPr>
      <w:r>
        <w:rPr>
          <w:rFonts w:ascii="Arial" w:cs="Arial" w:eastAsia="Arial" w:hAnsi="Arial"/>
          <w:b/>
          <w:bCs/>
          <w:color w:val="1A1A2E"/>
          <w:sz w:val="21"/>
          <w:szCs w:val="21"/>
        </w:rPr>
        <w:t xml:space="preserve">Calling Pattern: </w:t>
      </w:r>
      <w:r>
        <w:rPr>
          <w:rFonts w:ascii="Arial" w:cs="Arial" w:eastAsia="Arial" w:hAnsi="Arial"/>
          <w:color w:val="374151"/>
          <w:sz w:val="21"/>
          <w:szCs w:val="21"/>
        </w:rPr>
        <w:t xml:space="preserve">Daily calls to parents in Kerala, weekly to husband in Bangalore. ~300 min/month.</w:t>
      </w:r>
    </w:p>
    <w:p>
      <w:pPr>
        <w:spacing w:after="120"/>
      </w:pPr>
      <w:r>
        <w:rPr>
          <w:rFonts w:ascii="Arial" w:cs="Arial" w:eastAsia="Arial" w:hAnsi="Arial"/>
          <w:b/>
          <w:bCs/>
          <w:color w:val="1A1A2E"/>
          <w:sz w:val="21"/>
          <w:szCs w:val="21"/>
        </w:rPr>
        <w:t xml:space="preserve">Current Solution: </w:t>
      </w:r>
      <w:r>
        <w:rPr>
          <w:rFonts w:ascii="Arial" w:cs="Arial" w:eastAsia="Arial" w:hAnsi="Arial"/>
          <w:color w:val="374151"/>
          <w:sz w:val="21"/>
          <w:szCs w:val="21"/>
        </w:rPr>
        <w:t xml:space="preserve">Mix of WhatsApp (unreliable at parents house) and calling card app.</w:t>
      </w:r>
    </w:p>
    <w:p>
      <w:pPr>
        <w:spacing w:after="120"/>
      </w:pPr>
      <w:r>
        <w:rPr>
          <w:rFonts w:ascii="Arial" w:cs="Arial" w:eastAsia="Arial" w:hAnsi="Arial"/>
          <w:b/>
          <w:bCs/>
          <w:color w:val="1A1A2E"/>
          <w:sz w:val="21"/>
          <w:szCs w:val="21"/>
        </w:rPr>
        <w:t xml:space="preserve">CallGlobe Value: </w:t>
      </w:r>
      <w:r>
        <w:rPr>
          <w:rFonts w:ascii="Arial" w:cs="Arial" w:eastAsia="Arial" w:hAnsi="Arial"/>
          <w:color w:val="374151"/>
          <w:sz w:val="21"/>
          <w:szCs w:val="21"/>
        </w:rPr>
        <w:t xml:space="preserve">Indian number ($1/mo) so parents call her for local rates. Reliable connection.</w:t>
      </w:r>
    </w:p>
    <w:p>
      <w:pPr>
        <w:spacing w:after="160"/>
      </w:pPr>
    </w:p>
    <w:p>
      <w:pPr>
        <w:spacing w:after="100" w:before="200"/>
      </w:pPr>
      <w:r>
        <w:rPr>
          <w:rFonts w:ascii="Arial" w:cs="Arial" w:eastAsia="Arial" w:hAnsi="Arial"/>
          <w:b/>
          <w:bCs/>
          <w:color w:val="374151"/>
          <w:sz w:val="22"/>
          <w:szCs w:val="22"/>
        </w:rPr>
        <w:t xml:space="preserve">Persona 3: Ahmed (Business Owner)</w:t>
      </w:r>
    </w:p>
    <w:p>
      <w:pPr>
        <w:spacing w:after="120"/>
      </w:pPr>
      <w:r>
        <w:rPr>
          <w:rFonts w:ascii="Arial" w:cs="Arial" w:eastAsia="Arial" w:hAnsi="Arial"/>
          <w:b/>
          <w:bCs/>
          <w:color w:val="1A1A2E"/>
          <w:sz w:val="21"/>
          <w:szCs w:val="21"/>
        </w:rPr>
        <w:t xml:space="preserve">Age: </w:t>
      </w:r>
      <w:r>
        <w:rPr>
          <w:rFonts w:ascii="Arial" w:cs="Arial" w:eastAsia="Arial" w:hAnsi="Arial"/>
          <w:color w:val="374151"/>
          <w:sz w:val="21"/>
          <w:szCs w:val="21"/>
        </w:rPr>
        <w:t xml:space="preserve">42. Runs a contracting company in Jubail with clients across GCC.</w:t>
      </w:r>
    </w:p>
    <w:p>
      <w:pPr>
        <w:spacing w:after="120"/>
      </w:pPr>
      <w:r>
        <w:rPr>
          <w:rFonts w:ascii="Arial" w:cs="Arial" w:eastAsia="Arial" w:hAnsi="Arial"/>
          <w:b/>
          <w:bCs/>
          <w:color w:val="1A1A2E"/>
          <w:sz w:val="21"/>
          <w:szCs w:val="21"/>
        </w:rPr>
        <w:t xml:space="preserve">Calling Pattern: </w:t>
      </w:r>
      <w:r>
        <w:rPr>
          <w:rFonts w:ascii="Arial" w:cs="Arial" w:eastAsia="Arial" w:hAnsi="Arial"/>
          <w:color w:val="374151"/>
          <w:sz w:val="21"/>
          <w:szCs w:val="21"/>
        </w:rPr>
        <w:t xml:space="preserve">Business calls to Saudi, UAE, UK numbers. Needs professional caller ID.</w:t>
      </w:r>
    </w:p>
    <w:p>
      <w:pPr>
        <w:spacing w:after="120"/>
      </w:pPr>
      <w:r>
        <w:rPr>
          <w:rFonts w:ascii="Arial" w:cs="Arial" w:eastAsia="Arial" w:hAnsi="Arial"/>
          <w:b/>
          <w:bCs/>
          <w:color w:val="1A1A2E"/>
          <w:sz w:val="21"/>
          <w:szCs w:val="21"/>
        </w:rPr>
        <w:t xml:space="preserve">CallGlobe Value: </w:t>
      </w:r>
      <w:r>
        <w:rPr>
          <w:rFonts w:ascii="Arial" w:cs="Arial" w:eastAsia="Arial" w:hAnsi="Arial"/>
          <w:color w:val="374151"/>
          <w:sz w:val="21"/>
          <w:szCs w:val="21"/>
        </w:rPr>
        <w:t xml:space="preserve">Multiple numbers (Saudi + US + UK) for professional presence. Switches caller ID per context.</w:t>
      </w:r>
    </w:p>
    <w:p>
      <w:r>
        <w:br w:type="page"/>
      </w:r>
    </w:p>
    <w:p>
      <w:pPr>
        <w:pStyle w:val="Heading1"/>
        <w:spacing w:after="200" w:before="400"/>
      </w:pPr>
      <w:r>
        <w:rPr>
          <w:rFonts w:ascii="Arial" w:cs="Arial" w:eastAsia="Arial" w:hAnsi="Arial"/>
          <w:b/>
          <w:bCs/>
          <w:color w:val="0A7B61"/>
          <w:sz w:val="32"/>
          <w:szCs w:val="32"/>
        </w:rPr>
        <w:t xml:space="preserve">3. Product Features</w:t>
      </w:r>
    </w:p>
    <w:p>
      <w:pPr>
        <w:pStyle w:val="Heading2"/>
        <w:spacing w:after="150" w:before="300"/>
      </w:pPr>
      <w:r>
        <w:rPr>
          <w:rFonts w:ascii="Arial" w:cs="Arial" w:eastAsia="Arial" w:hAnsi="Arial"/>
          <w:b/>
          <w:bCs/>
          <w:color w:val="1A1A2E"/>
          <w:sz w:val="26"/>
          <w:szCs w:val="26"/>
        </w:rPr>
        <w:t xml:space="preserve">3.1 Feature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800"/>
        <w:gridCol w:w="1000"/>
        <w:gridCol w:w="4960"/>
      </w:tblGrid>
      <w:tr>
        <w:tc>
          <w:tcPr>
            <w:tcW w:type="dxa" w:w="2600"/>
            <w:tcBorders>
              <w:top w:val="single" w:color="D1D5DB" w:sz="1"/>
              <w:left w:val="single" w:color="D1D5DB" w:sz="1"/>
              <w:bottom w:val="single" w:color="D1D5DB" w:sz="1"/>
              <w:right w:val="single" w:color="D1D5DB" w:sz="1"/>
            </w:tcBorders>
            <w:shd w:fill="F0FAF7" w:val="clear"/>
            <w:tcMar>
              <w:top w:type="dxa" w:w="80"/>
              <w:left w:type="dxa" w:w="120"/>
              <w:bottom w:type="dxa" w:w="80"/>
              <w:right w:type="dxa" w:w="120"/>
            </w:tcMar>
          </w:tcPr>
          <w:p>
            <w:r>
              <w:rPr>
                <w:rFonts w:ascii="Arial" w:cs="Arial" w:eastAsia="Arial" w:hAnsi="Arial"/>
                <w:b/>
                <w:bCs/>
                <w:color w:val="1A1A2E"/>
                <w:sz w:val="20"/>
                <w:szCs w:val="20"/>
              </w:rPr>
              <w:t xml:space="preserve">Feature</w:t>
            </w:r>
          </w:p>
        </w:tc>
        <w:tc>
          <w:tcPr>
            <w:tcW w:type="dxa" w:w="800"/>
            <w:tcBorders>
              <w:top w:val="single" w:color="D1D5DB" w:sz="1"/>
              <w:left w:val="single" w:color="D1D5DB" w:sz="1"/>
              <w:bottom w:val="single" w:color="D1D5DB" w:sz="1"/>
              <w:right w:val="single" w:color="D1D5DB" w:sz="1"/>
            </w:tcBorders>
            <w:shd w:fill="F0FAF7" w:val="clear"/>
            <w:tcMar>
              <w:top w:type="dxa" w:w="80"/>
              <w:left w:type="dxa" w:w="120"/>
              <w:bottom w:type="dxa" w:w="80"/>
              <w:right w:type="dxa" w:w="120"/>
            </w:tcMar>
          </w:tcPr>
          <w:p>
            <w:r>
              <w:rPr>
                <w:rFonts w:ascii="Arial" w:cs="Arial" w:eastAsia="Arial" w:hAnsi="Arial"/>
                <w:b/>
                <w:bCs/>
                <w:color w:val="1A1A2E"/>
                <w:sz w:val="20"/>
                <w:szCs w:val="20"/>
              </w:rPr>
              <w:t xml:space="preserve">Priority</w:t>
            </w:r>
          </w:p>
        </w:tc>
        <w:tc>
          <w:tcPr>
            <w:tcW w:type="dxa" w:w="1000"/>
            <w:tcBorders>
              <w:top w:val="single" w:color="D1D5DB" w:sz="1"/>
              <w:left w:val="single" w:color="D1D5DB" w:sz="1"/>
              <w:bottom w:val="single" w:color="D1D5DB" w:sz="1"/>
              <w:right w:val="single" w:color="D1D5DB" w:sz="1"/>
            </w:tcBorders>
            <w:shd w:fill="F0FAF7" w:val="clear"/>
            <w:tcMar>
              <w:top w:type="dxa" w:w="80"/>
              <w:left w:type="dxa" w:w="120"/>
              <w:bottom w:type="dxa" w:w="80"/>
              <w:right w:type="dxa" w:w="120"/>
            </w:tcMar>
          </w:tcPr>
          <w:p>
            <w:r>
              <w:rPr>
                <w:rFonts w:ascii="Arial" w:cs="Arial" w:eastAsia="Arial" w:hAnsi="Arial"/>
                <w:b/>
                <w:bCs/>
                <w:color w:val="1A1A2E"/>
                <w:sz w:val="20"/>
                <w:szCs w:val="20"/>
              </w:rPr>
              <w:t xml:space="preserve">Status</w:t>
            </w:r>
          </w:p>
        </w:tc>
        <w:tc>
          <w:tcPr>
            <w:tcW w:type="dxa" w:w="4960"/>
            <w:tcBorders>
              <w:top w:val="single" w:color="D1D5DB" w:sz="1"/>
              <w:left w:val="single" w:color="D1D5DB" w:sz="1"/>
              <w:bottom w:val="single" w:color="D1D5DB" w:sz="1"/>
              <w:right w:val="single" w:color="D1D5DB" w:sz="1"/>
            </w:tcBorders>
            <w:shd w:fill="F0FAF7" w:val="clear"/>
            <w:tcMar>
              <w:top w:type="dxa" w:w="80"/>
              <w:left w:type="dxa" w:w="120"/>
              <w:bottom w:type="dxa" w:w="80"/>
              <w:right w:type="dxa" w:w="120"/>
            </w:tcMar>
          </w:tcPr>
          <w:p>
            <w:r>
              <w:rPr>
                <w:rFonts w:ascii="Arial" w:cs="Arial" w:eastAsia="Arial" w:hAnsi="Arial"/>
                <w:b/>
                <w:bCs/>
                <w:color w:val="1A1A2E"/>
                <w:sz w:val="20"/>
                <w:szCs w:val="20"/>
              </w:rPr>
              <w:t xml:space="preserve">Description</w:t>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Outbound Calling</w:t>
            </w:r>
          </w:p>
        </w:tc>
        <w:tc>
          <w:tcPr>
            <w:tcW w:type="dxa" w:w="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P0</w:t>
            </w:r>
          </w:p>
        </w:tc>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Built</w:t>
            </w:r>
          </w:p>
        </w:tc>
        <w:tc>
          <w:tcPr>
            <w:tcW w:type="dxa" w:w="4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WebRTC calls to any phone number worldwide via Telnyx</w:t>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Inbound Calling</w:t>
            </w:r>
          </w:p>
        </w:tc>
        <w:tc>
          <w:tcPr>
            <w:tcW w:type="dxa" w:w="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P0</w:t>
            </w:r>
          </w:p>
        </w:tc>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Built</w:t>
            </w:r>
          </w:p>
        </w:tc>
        <w:tc>
          <w:tcPr>
            <w:tcW w:type="dxa" w:w="4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Receive calls on purchased virtual numbers</w:t>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Multi-Number Management</w:t>
            </w:r>
          </w:p>
        </w:tc>
        <w:tc>
          <w:tcPr>
            <w:tcW w:type="dxa" w:w="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P0</w:t>
            </w:r>
          </w:p>
        </w:tc>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Built</w:t>
            </w:r>
          </w:p>
        </w:tc>
        <w:tc>
          <w:tcPr>
            <w:tcW w:type="dxa" w:w="4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Buy/manage multiple DIDs, switch active caller ID</w:t>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Prepaid Recharge</w:t>
            </w:r>
          </w:p>
        </w:tc>
        <w:tc>
          <w:tcPr>
            <w:tcW w:type="dxa" w:w="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P0</w:t>
            </w:r>
          </w:p>
        </w:tc>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Built</w:t>
            </w:r>
          </w:p>
        </w:tc>
        <w:tc>
          <w:tcPr>
            <w:tcW w:type="dxa" w:w="4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Stripe checkout with $10 minimum, bonus tiers</w:t>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Call History</w:t>
            </w:r>
          </w:p>
        </w:tc>
        <w:tc>
          <w:tcPr>
            <w:tcW w:type="dxa" w:w="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P0</w:t>
            </w:r>
          </w:p>
        </w:tc>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Built</w:t>
            </w:r>
          </w:p>
        </w:tc>
        <w:tc>
          <w:tcPr>
            <w:tcW w:type="dxa" w:w="4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Inbound/outbound logs with cost and duration</w:t>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Referral System</w:t>
            </w:r>
          </w:p>
        </w:tc>
        <w:tc>
          <w:tcPr>
            <w:tcW w:type="dxa" w:w="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P0</w:t>
            </w:r>
          </w:p>
        </w:tc>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Built</w:t>
            </w:r>
          </w:p>
        </w:tc>
        <w:tc>
          <w:tcPr>
            <w:tcW w:type="dxa" w:w="4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Give $2 / Get $2 with WhatsApp/SMS share</w:t>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Country Rate Browser</w:t>
            </w:r>
          </w:p>
        </w:tc>
        <w:tc>
          <w:tcPr>
            <w:tcW w:type="dxa" w:w="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P1</w:t>
            </w:r>
          </w:p>
        </w:tc>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Built</w:t>
            </w:r>
          </w:p>
        </w:tc>
        <w:tc>
          <w:tcPr>
            <w:tcW w:type="dxa" w:w="4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Search per-minute rates by country</w:t>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Caller ID Selection</w:t>
            </w:r>
          </w:p>
        </w:tc>
        <w:tc>
          <w:tcPr>
            <w:tcW w:type="dxa" w:w="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P0</w:t>
            </w:r>
          </w:p>
        </w:tc>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Built</w:t>
            </w:r>
          </w:p>
        </w:tc>
        <w:tc>
          <w:tcPr>
            <w:tcW w:type="dxa" w:w="4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Choose which number shows on outbound calls</w:t>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Push Notifications</w:t>
            </w:r>
          </w:p>
        </w:tc>
        <w:tc>
          <w:tcPr>
            <w:tcW w:type="dxa" w:w="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P0</w:t>
            </w:r>
          </w:p>
        </w:tc>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Planned</w:t>
            </w:r>
          </w:p>
        </w:tc>
        <w:tc>
          <w:tcPr>
            <w:tcW w:type="dxa" w:w="4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Ring on incoming call when app is backgrounded</w:t>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Subscription Plans</w:t>
            </w:r>
          </w:p>
        </w:tc>
        <w:tc>
          <w:tcPr>
            <w:tcW w:type="dxa" w:w="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P1</w:t>
            </w:r>
          </w:p>
        </w:tc>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Planned</w:t>
            </w:r>
          </w:p>
        </w:tc>
        <w:tc>
          <w:tcPr>
            <w:tcW w:type="dxa" w:w="4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Unlimited calling to specific countries</w:t>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Mobile Top-Up</w:t>
            </w:r>
          </w:p>
        </w:tc>
        <w:tc>
          <w:tcPr>
            <w:tcW w:type="dxa" w:w="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P1</w:t>
            </w:r>
          </w:p>
        </w:tc>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Planned</w:t>
            </w:r>
          </w:p>
        </w:tc>
        <w:tc>
          <w:tcPr>
            <w:tcW w:type="dxa" w:w="4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Recharge family phones via Reloadly/DingConnect</w:t>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Money Transfer</w:t>
            </w:r>
          </w:p>
        </w:tc>
        <w:tc>
          <w:tcPr>
            <w:tcW w:type="dxa" w:w="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P2</w:t>
            </w:r>
          </w:p>
        </w:tc>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Planned</w:t>
            </w:r>
          </w:p>
        </w:tc>
        <w:tc>
          <w:tcPr>
            <w:tcW w:type="dxa" w:w="4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International remittance (FINCEN MSB required)</w:t>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Contact Book</w:t>
            </w:r>
          </w:p>
        </w:tc>
        <w:tc>
          <w:tcPr>
            <w:tcW w:type="dxa" w:w="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P1</w:t>
            </w:r>
          </w:p>
        </w:tc>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Planned</w:t>
            </w:r>
          </w:p>
        </w:tc>
        <w:tc>
          <w:tcPr>
            <w:tcW w:type="dxa" w:w="4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Save frequent contacts with country auto-detect</w:t>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Call Recording</w:t>
            </w:r>
          </w:p>
        </w:tc>
        <w:tc>
          <w:tcPr>
            <w:tcW w:type="dxa" w:w="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P2</w:t>
            </w:r>
          </w:p>
        </w:tc>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Planned</w:t>
            </w:r>
          </w:p>
        </w:tc>
        <w:tc>
          <w:tcPr>
            <w:tcW w:type="dxa" w:w="4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Optional recording for business calls</w:t>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Multi-Language UI</w:t>
            </w:r>
          </w:p>
        </w:tc>
        <w:tc>
          <w:tcPr>
            <w:tcW w:type="dxa" w:w="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P1</w:t>
            </w:r>
          </w:p>
        </w:tc>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Planned</w:t>
            </w:r>
          </w:p>
        </w:tc>
        <w:tc>
          <w:tcPr>
            <w:tcW w:type="dxa" w:w="4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Arabic, Hausa, Hindi, Tagalog, Bengali</w:t>
            </w:r>
          </w:p>
        </w:tc>
      </w:tr>
    </w:tbl>
    <w:p>
      <w:pPr>
        <w:spacing w:after="160"/>
      </w:pPr>
    </w:p>
    <w:p>
      <w:pPr>
        <w:pStyle w:val="Heading2"/>
        <w:spacing w:after="150" w:before="300"/>
      </w:pPr>
      <w:r>
        <w:rPr>
          <w:rFonts w:ascii="Arial" w:cs="Arial" w:eastAsia="Arial" w:hAnsi="Arial"/>
          <w:b/>
          <w:bCs/>
          <w:color w:val="1A1A2E"/>
          <w:sz w:val="26"/>
          <w:szCs w:val="26"/>
        </w:rPr>
        <w:t xml:space="preserve">3.2 Outbound Calling</w:t>
      </w:r>
    </w:p>
    <w:p>
      <w:pPr>
        <w:spacing w:after="120"/>
      </w:pPr>
      <w:r>
        <w:rPr>
          <w:rFonts w:ascii="Arial" w:cs="Arial" w:eastAsia="Arial" w:hAnsi="Arial"/>
          <w:color w:val="374151"/>
          <w:sz w:val="21"/>
          <w:szCs w:val="21"/>
        </w:rPr>
        <w:t xml:space="preserve">Users dial any international number through a keypad interface. Calls route over WebRTC to Telnyx PSTN gateway. Per-minute rates are displayed before the call starts. Balance is deducted in real-time, rounded up to the nearest minute. If balance reaches zero, the call auto-terminates with a warning tone.</w:t>
      </w:r>
    </w:p>
    <w:p>
      <w:pPr>
        <w:spacing w:after="160"/>
      </w:pPr>
    </w:p>
    <w:p>
      <w:pPr>
        <w:spacing w:after="100" w:before="200"/>
      </w:pPr>
      <w:r>
        <w:rPr>
          <w:rFonts w:ascii="Arial" w:cs="Arial" w:eastAsia="Arial" w:hAnsi="Arial"/>
          <w:b/>
          <w:bCs/>
          <w:color w:val="374151"/>
          <w:sz w:val="22"/>
          <w:szCs w:val="22"/>
        </w:rPr>
        <w:t xml:space="preserve">Call Flow:</w:t>
      </w:r>
    </w:p>
    <w:p>
      <w:pPr>
        <w:spacing w:after="120"/>
      </w:pPr>
      <w:r>
        <w:rPr>
          <w:rFonts w:ascii="Arial" w:cs="Arial" w:eastAsia="Arial" w:hAnsi="Arial"/>
          <w:color w:val="374151"/>
          <w:sz w:val="21"/>
          <w:szCs w:val="21"/>
        </w:rPr>
        <w:t xml:space="preserve">1. User enters number and selects country code</w:t>
      </w:r>
    </w:p>
    <w:p>
      <w:pPr>
        <w:spacing w:after="120"/>
      </w:pPr>
      <w:r>
        <w:rPr>
          <w:rFonts w:ascii="Arial" w:cs="Arial" w:eastAsia="Arial" w:hAnsi="Arial"/>
          <w:color w:val="374151"/>
          <w:sz w:val="21"/>
          <w:szCs w:val="21"/>
        </w:rPr>
        <w:t xml:space="preserve">2. App shows rate and estimated minutes remaining</w:t>
      </w:r>
    </w:p>
    <w:p>
      <w:pPr>
        <w:spacing w:after="120"/>
      </w:pPr>
      <w:r>
        <w:rPr>
          <w:rFonts w:ascii="Arial" w:cs="Arial" w:eastAsia="Arial" w:hAnsi="Arial"/>
          <w:color w:val="374151"/>
          <w:sz w:val="21"/>
          <w:szCs w:val="21"/>
        </w:rPr>
        <w:t xml:space="preserve">3. User taps call button</w:t>
      </w:r>
    </w:p>
    <w:p>
      <w:pPr>
        <w:spacing w:after="120"/>
      </w:pPr>
      <w:r>
        <w:rPr>
          <w:rFonts w:ascii="Arial" w:cs="Arial" w:eastAsia="Arial" w:hAnsi="Arial"/>
          <w:color w:val="374151"/>
          <w:sz w:val="21"/>
          <w:szCs w:val="21"/>
        </w:rPr>
        <w:t xml:space="preserve">4. WebRTC session initiates to Telnyx via SIP credential</w:t>
      </w:r>
    </w:p>
    <w:p>
      <w:pPr>
        <w:spacing w:after="120"/>
      </w:pPr>
      <w:r>
        <w:rPr>
          <w:rFonts w:ascii="Arial" w:cs="Arial" w:eastAsia="Arial" w:hAnsi="Arial"/>
          <w:color w:val="374151"/>
          <w:sz w:val="21"/>
          <w:szCs w:val="21"/>
        </w:rPr>
        <w:t xml:space="preserve">5. Telnyx routes to PSTN with selected caller ID</w:t>
      </w:r>
    </w:p>
    <w:p>
      <w:pPr>
        <w:spacing w:after="120"/>
      </w:pPr>
      <w:r>
        <w:rPr>
          <w:rFonts w:ascii="Arial" w:cs="Arial" w:eastAsia="Arial" w:hAnsi="Arial"/>
          <w:color w:val="374151"/>
          <w:sz w:val="21"/>
          <w:szCs w:val="21"/>
        </w:rPr>
        <w:t xml:space="preserve">6. Call connects, timer starts, balance deducts per minute</w:t>
      </w:r>
    </w:p>
    <w:p>
      <w:pPr>
        <w:spacing w:after="120"/>
      </w:pPr>
      <w:r>
        <w:rPr>
          <w:rFonts w:ascii="Arial" w:cs="Arial" w:eastAsia="Arial" w:hAnsi="Arial"/>
          <w:color w:val="374151"/>
          <w:sz w:val="21"/>
          <w:szCs w:val="21"/>
        </w:rPr>
        <w:t xml:space="preserve">7. Call ends: CDR logged, final cost calculated, balance updated</w:t>
      </w:r>
    </w:p>
    <w:p>
      <w:pPr>
        <w:spacing w:after="160"/>
      </w:pPr>
    </w:p>
    <w:p>
      <w:pPr>
        <w:pStyle w:val="Heading2"/>
        <w:spacing w:after="150" w:before="300"/>
      </w:pPr>
      <w:r>
        <w:rPr>
          <w:rFonts w:ascii="Arial" w:cs="Arial" w:eastAsia="Arial" w:hAnsi="Arial"/>
          <w:b/>
          <w:bCs/>
          <w:color w:val="1A1A2E"/>
          <w:sz w:val="26"/>
          <w:szCs w:val="26"/>
        </w:rPr>
        <w:t xml:space="preserve">3.3 Inbound Calling</w:t>
      </w:r>
    </w:p>
    <w:p>
      <w:pPr>
        <w:spacing w:after="120"/>
      </w:pPr>
      <w:r>
        <w:rPr>
          <w:rFonts w:ascii="Arial" w:cs="Arial" w:eastAsia="Arial" w:hAnsi="Arial"/>
          <w:color w:val="374151"/>
          <w:sz w:val="21"/>
          <w:szCs w:val="21"/>
        </w:rPr>
        <w:t xml:space="preserve">Users purchase virtual phone numbers (DIDs) from available countries. When someone calls that number, Telnyx sends a webhook to the backend, which identifies the number owner and delivers the call via WebRTC push notification. The app shows a full-screen incoming call UI with answer/decline options.</w:t>
      </w:r>
    </w:p>
    <w:p>
      <w:pPr>
        <w:spacing w:after="160"/>
      </w:pPr>
    </w:p>
    <w:p>
      <w:pPr>
        <w:spacing w:after="100" w:before="200"/>
      </w:pPr>
      <w:r>
        <w:rPr>
          <w:rFonts w:ascii="Arial" w:cs="Arial" w:eastAsia="Arial" w:hAnsi="Arial"/>
          <w:b/>
          <w:bCs/>
          <w:color w:val="374151"/>
          <w:sz w:val="22"/>
          <w:szCs w:val="22"/>
        </w:rPr>
        <w:t xml:space="preserve">Inbound Call Flow:</w:t>
      </w:r>
    </w:p>
    <w:p>
      <w:pPr>
        <w:spacing w:after="120"/>
      </w:pPr>
      <w:r>
        <w:rPr>
          <w:rFonts w:ascii="Arial" w:cs="Arial" w:eastAsia="Arial" w:hAnsi="Arial"/>
          <w:color w:val="374151"/>
          <w:sz w:val="21"/>
          <w:szCs w:val="21"/>
        </w:rPr>
        <w:t xml:space="preserve">1. External caller dials the user purchased DID number</w:t>
      </w:r>
    </w:p>
    <w:p>
      <w:pPr>
        <w:spacing w:after="120"/>
      </w:pPr>
      <w:r>
        <w:rPr>
          <w:rFonts w:ascii="Arial" w:cs="Arial" w:eastAsia="Arial" w:hAnsi="Arial"/>
          <w:color w:val="374151"/>
          <w:sz w:val="21"/>
          <w:szCs w:val="21"/>
        </w:rPr>
        <w:t xml:space="preserve">2. Telnyx receives the call, triggers webhook to Supabase edge function</w:t>
      </w:r>
    </w:p>
    <w:p>
      <w:pPr>
        <w:spacing w:after="120"/>
      </w:pPr>
      <w:r>
        <w:rPr>
          <w:rFonts w:ascii="Arial" w:cs="Arial" w:eastAsia="Arial" w:hAnsi="Arial"/>
          <w:color w:val="374151"/>
          <w:sz w:val="21"/>
          <w:szCs w:val="21"/>
        </w:rPr>
        <w:t xml:space="preserve">3. Edge function looks up which user owns that number</w:t>
      </w:r>
    </w:p>
    <w:p>
      <w:pPr>
        <w:spacing w:after="120"/>
      </w:pPr>
      <w:r>
        <w:rPr>
          <w:rFonts w:ascii="Arial" w:cs="Arial" w:eastAsia="Arial" w:hAnsi="Arial"/>
          <w:color w:val="374151"/>
          <w:sz w:val="21"/>
          <w:szCs w:val="21"/>
        </w:rPr>
        <w:t xml:space="preserve">4. Push notification sent to user device (FCM for Android, APNs for iOS)</w:t>
      </w:r>
    </w:p>
    <w:p>
      <w:pPr>
        <w:spacing w:after="120"/>
      </w:pPr>
      <w:r>
        <w:rPr>
          <w:rFonts w:ascii="Arial" w:cs="Arial" w:eastAsia="Arial" w:hAnsi="Arial"/>
          <w:color w:val="374151"/>
          <w:sz w:val="21"/>
          <w:szCs w:val="21"/>
        </w:rPr>
        <w:t xml:space="preserve">5. App wakes and displays incoming call screen with caller info</w:t>
      </w:r>
    </w:p>
    <w:p>
      <w:pPr>
        <w:spacing w:after="120"/>
      </w:pPr>
      <w:r>
        <w:rPr>
          <w:rFonts w:ascii="Arial" w:cs="Arial" w:eastAsia="Arial" w:hAnsi="Arial"/>
          <w:color w:val="374151"/>
          <w:sz w:val="21"/>
          <w:szCs w:val="21"/>
        </w:rPr>
        <w:t xml:space="preserve">6. User answers: WebRTC session established. User declines: call sent to voicemail or rejected</w:t>
      </w:r>
    </w:p>
    <w:p>
      <w:pPr>
        <w:spacing w:after="120"/>
      </w:pPr>
      <w:r>
        <w:rPr>
          <w:rFonts w:ascii="Arial" w:cs="Arial" w:eastAsia="Arial" w:hAnsi="Arial"/>
          <w:color w:val="374151"/>
          <w:sz w:val="21"/>
          <w:szCs w:val="21"/>
        </w:rPr>
        <w:t xml:space="preserve">7. Incoming calls are FREE to the user (no balance deduction)</w:t>
      </w:r>
    </w:p>
    <w:p>
      <w:pPr>
        <w:spacing w:after="160"/>
      </w:pPr>
    </w:p>
    <w:p>
      <w:pPr>
        <w:pStyle w:val="Heading2"/>
        <w:spacing w:after="150" w:before="300"/>
      </w:pPr>
      <w:r>
        <w:rPr>
          <w:rFonts w:ascii="Arial" w:cs="Arial" w:eastAsia="Arial" w:hAnsi="Arial"/>
          <w:b/>
          <w:bCs/>
          <w:color w:val="1A1A2E"/>
          <w:sz w:val="26"/>
          <w:szCs w:val="26"/>
        </w:rPr>
        <w:t xml:space="preserve">3.4 Multi-Number Management</w:t>
      </w:r>
    </w:p>
    <w:p>
      <w:pPr>
        <w:spacing w:after="120"/>
      </w:pPr>
      <w:r>
        <w:rPr>
          <w:rFonts w:ascii="Arial" w:cs="Arial" w:eastAsia="Arial" w:hAnsi="Arial"/>
          <w:color w:val="374151"/>
          <w:sz w:val="21"/>
          <w:szCs w:val="21"/>
        </w:rPr>
        <w:t xml:space="preserve">Users can purchase and manage multiple virtual numbers from different countries. Each number can receive inbound calls independently. One number is designated as the active Caller ID for outbound calls, switchable with a single tap.</w:t>
      </w:r>
    </w:p>
    <w:p>
      <w:pPr>
        <w:spacing w:after="160"/>
      </w:pPr>
    </w:p>
    <w:p>
      <w:pPr>
        <w:spacing w:after="100" w:before="200"/>
      </w:pPr>
      <w:r>
        <w:rPr>
          <w:rFonts w:ascii="Arial" w:cs="Arial" w:eastAsia="Arial" w:hAnsi="Arial"/>
          <w:b/>
          <w:bCs/>
          <w:color w:val="374151"/>
          <w:sz w:val="22"/>
          <w:szCs w:val="22"/>
        </w:rPr>
        <w:t xml:space="preserve">Use Cases:</w:t>
      </w:r>
    </w:p>
    <w:p>
      <w:pPr>
        <w:spacing w:after="120"/>
      </w:pPr>
      <w:r>
        <w:rPr>
          <w:rFonts w:ascii="Arial" w:cs="Arial" w:eastAsia="Arial" w:hAnsi="Arial"/>
          <w:color w:val="374151"/>
          <w:sz w:val="21"/>
          <w:szCs w:val="21"/>
        </w:rPr>
        <w:t xml:space="preserve">A Nigerian expat buys a +234 number so family calls locally, a +966 Saudi number for business contacts, and a +1 US number for their LLC.</w:t>
      </w:r>
    </w:p>
    <w:p>
      <w:pPr>
        <w:spacing w:after="120"/>
      </w:pPr>
      <w:r>
        <w:rPr>
          <w:rFonts w:ascii="Arial" w:cs="Arial" w:eastAsia="Arial" w:hAnsi="Arial"/>
          <w:color w:val="374151"/>
          <w:sz w:val="21"/>
          <w:szCs w:val="21"/>
        </w:rPr>
        <w:t xml:space="preserve">A business owner switches caller ID to show a UK number when calling UK clients and a Saudi number for local clients.</w:t>
      </w:r>
    </w:p>
    <w:p>
      <w:pPr>
        <w:spacing w:after="160"/>
      </w:pPr>
    </w:p>
    <w:p>
      <w:pPr>
        <w:spacing w:after="100" w:before="200"/>
      </w:pPr>
      <w:r>
        <w:rPr>
          <w:rFonts w:ascii="Arial" w:cs="Arial" w:eastAsia="Arial" w:hAnsi="Arial"/>
          <w:b/>
          <w:bCs/>
          <w:color w:val="374151"/>
          <w:sz w:val="22"/>
          <w:szCs w:val="22"/>
        </w:rPr>
        <w:t xml:space="preserve">Number Pricing: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2200"/>
        <w:gridCol w:w="2460"/>
      </w:tblGrid>
      <w:tr>
        <w:tc>
          <w:tcPr>
            <w:tcW w:type="dxa" w:w="2500"/>
            <w:tcBorders>
              <w:top w:val="single" w:color="D1D5DB" w:sz="1"/>
              <w:left w:val="single" w:color="D1D5DB" w:sz="1"/>
              <w:bottom w:val="single" w:color="D1D5DB" w:sz="1"/>
              <w:right w:val="single" w:color="D1D5DB" w:sz="1"/>
            </w:tcBorders>
            <w:shd w:fill="F0FAF7" w:val="clear"/>
            <w:tcMar>
              <w:top w:type="dxa" w:w="80"/>
              <w:left w:type="dxa" w:w="120"/>
              <w:bottom w:type="dxa" w:w="80"/>
              <w:right w:type="dxa" w:w="120"/>
            </w:tcMar>
          </w:tcPr>
          <w:p>
            <w:r>
              <w:rPr>
                <w:rFonts w:ascii="Arial" w:cs="Arial" w:eastAsia="Arial" w:hAnsi="Arial"/>
                <w:b/>
                <w:bCs/>
                <w:color w:val="1A1A2E"/>
                <w:sz w:val="20"/>
                <w:szCs w:val="20"/>
              </w:rPr>
              <w:t xml:space="preserve">Country</w:t>
            </w:r>
          </w:p>
        </w:tc>
        <w:tc>
          <w:tcPr>
            <w:tcW w:type="dxa" w:w="2200"/>
            <w:tcBorders>
              <w:top w:val="single" w:color="D1D5DB" w:sz="1"/>
              <w:left w:val="single" w:color="D1D5DB" w:sz="1"/>
              <w:bottom w:val="single" w:color="D1D5DB" w:sz="1"/>
              <w:right w:val="single" w:color="D1D5DB" w:sz="1"/>
            </w:tcBorders>
            <w:shd w:fill="F0FAF7" w:val="clear"/>
            <w:tcMar>
              <w:top w:type="dxa" w:w="80"/>
              <w:left w:type="dxa" w:w="120"/>
              <w:bottom w:type="dxa" w:w="80"/>
              <w:right w:type="dxa" w:w="120"/>
            </w:tcMar>
          </w:tcPr>
          <w:p>
            <w:r>
              <w:rPr>
                <w:rFonts w:ascii="Arial" w:cs="Arial" w:eastAsia="Arial" w:hAnsi="Arial"/>
                <w:b/>
                <w:bCs/>
                <w:color w:val="1A1A2E"/>
                <w:sz w:val="20"/>
                <w:szCs w:val="20"/>
              </w:rPr>
              <w:t xml:space="preserve">Monthly Cost (User)</w:t>
            </w:r>
          </w:p>
        </w:tc>
        <w:tc>
          <w:tcPr>
            <w:tcW w:type="dxa" w:w="2200"/>
            <w:tcBorders>
              <w:top w:val="single" w:color="D1D5DB" w:sz="1"/>
              <w:left w:val="single" w:color="D1D5DB" w:sz="1"/>
              <w:bottom w:val="single" w:color="D1D5DB" w:sz="1"/>
              <w:right w:val="single" w:color="D1D5DB" w:sz="1"/>
            </w:tcBorders>
            <w:shd w:fill="F0FAF7" w:val="clear"/>
            <w:tcMar>
              <w:top w:type="dxa" w:w="80"/>
              <w:left w:type="dxa" w:w="120"/>
              <w:bottom w:type="dxa" w:w="80"/>
              <w:right w:type="dxa" w:w="120"/>
            </w:tcMar>
          </w:tcPr>
          <w:p>
            <w:r>
              <w:rPr>
                <w:rFonts w:ascii="Arial" w:cs="Arial" w:eastAsia="Arial" w:hAnsi="Arial"/>
                <w:b/>
                <w:bCs/>
                <w:color w:val="1A1A2E"/>
                <w:sz w:val="20"/>
                <w:szCs w:val="20"/>
              </w:rPr>
              <w:t xml:space="preserve">Telnyx Cost</w:t>
            </w:r>
          </w:p>
        </w:tc>
        <w:tc>
          <w:tcPr>
            <w:tcW w:type="dxa" w:w="2460"/>
            <w:tcBorders>
              <w:top w:val="single" w:color="D1D5DB" w:sz="1"/>
              <w:left w:val="single" w:color="D1D5DB" w:sz="1"/>
              <w:bottom w:val="single" w:color="D1D5DB" w:sz="1"/>
              <w:right w:val="single" w:color="D1D5DB" w:sz="1"/>
            </w:tcBorders>
            <w:shd w:fill="F0FAF7" w:val="clear"/>
            <w:tcMar>
              <w:top w:type="dxa" w:w="80"/>
              <w:left w:type="dxa" w:w="120"/>
              <w:bottom w:type="dxa" w:w="80"/>
              <w:right w:type="dxa" w:w="120"/>
            </w:tcMar>
          </w:tcPr>
          <w:p>
            <w:r>
              <w:rPr>
                <w:rFonts w:ascii="Arial" w:cs="Arial" w:eastAsia="Arial" w:hAnsi="Arial"/>
                <w:b/>
                <w:bCs/>
                <w:color w:val="1A1A2E"/>
                <w:sz w:val="20"/>
                <w:szCs w:val="20"/>
              </w:rPr>
              <w:t xml:space="preserve">Your Margin</w:t>
            </w:r>
          </w:p>
        </w:tc>
      </w:tr>
      <w:tr>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US / Canada</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$2.00/mo</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$1.00/mo</w:t>
            </w:r>
          </w:p>
        </w:tc>
        <w:tc>
          <w:tcPr>
            <w:tcW w:type="dxa" w:w="24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$1.00</w:t>
            </w:r>
          </w:p>
        </w:tc>
      </w:tr>
      <w:tr>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UK</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$2.50/mo</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$1.50/mo</w:t>
            </w:r>
          </w:p>
        </w:tc>
        <w:tc>
          <w:tcPr>
            <w:tcW w:type="dxa" w:w="24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$1.00</w:t>
            </w:r>
          </w:p>
        </w:tc>
      </w:tr>
      <w:tr>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Nigeria</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$3.00/mo</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$2.00/mo</w:t>
            </w:r>
          </w:p>
        </w:tc>
        <w:tc>
          <w:tcPr>
            <w:tcW w:type="dxa" w:w="24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$1.00</w:t>
            </w:r>
          </w:p>
        </w:tc>
      </w:tr>
      <w:tr>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Saudi Arabia</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$4.00/mo</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$2.50/mo</w:t>
            </w:r>
          </w:p>
        </w:tc>
        <w:tc>
          <w:tcPr>
            <w:tcW w:type="dxa" w:w="24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$1.50</w:t>
            </w:r>
          </w:p>
        </w:tc>
      </w:tr>
      <w:tr>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India</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$2.00/mo</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$1.00/mo</w:t>
            </w:r>
          </w:p>
        </w:tc>
        <w:tc>
          <w:tcPr>
            <w:tcW w:type="dxa" w:w="24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$1.00</w:t>
            </w:r>
          </w:p>
        </w:tc>
      </w:tr>
      <w:tr>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Germany / France</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$2.50/mo</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$1.50/mo</w:t>
            </w:r>
          </w:p>
        </w:tc>
        <w:tc>
          <w:tcPr>
            <w:tcW w:type="dxa" w:w="24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$1.00</w:t>
            </w:r>
          </w:p>
        </w:tc>
      </w:tr>
    </w:tbl>
    <w:p>
      <w:pPr>
        <w:spacing w:after="160"/>
      </w:pPr>
    </w:p>
    <w:p>
      <w:pPr>
        <w:pStyle w:val="Heading2"/>
        <w:spacing w:after="150" w:before="300"/>
      </w:pPr>
      <w:r>
        <w:rPr>
          <w:rFonts w:ascii="Arial" w:cs="Arial" w:eastAsia="Arial" w:hAnsi="Arial"/>
          <w:b/>
          <w:bCs/>
          <w:color w:val="1A1A2E"/>
          <w:sz w:val="26"/>
          <w:szCs w:val="26"/>
        </w:rPr>
        <w:t xml:space="preserve">3.5 Prepaid Recharge System</w:t>
      </w:r>
    </w:p>
    <w:p>
      <w:pPr>
        <w:spacing w:after="120"/>
      </w:pPr>
      <w:r>
        <w:rPr>
          <w:rFonts w:ascii="Arial" w:cs="Arial" w:eastAsia="Arial" w:hAnsi="Arial"/>
          <w:color w:val="374151"/>
          <w:sz w:val="21"/>
          <w:szCs w:val="21"/>
        </w:rPr>
        <w:t xml:space="preserve">Users recharge their balance through Stripe Checkout. Minimum recharge is $10 to optimize Stripe fee economics (the $0.30 fixed fee is only 3% on $10 vs 6% on $5). Higher tiers offer bonus credit to incentivize larger recharges.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000"/>
        <w:gridCol w:w="2000"/>
        <w:gridCol w:w="2500"/>
        <w:gridCol w:w="2460"/>
      </w:tblGrid>
      <w:tr>
        <w:tc>
          <w:tcPr>
            <w:tcW w:type="dxa" w:w="1400"/>
            <w:tcBorders>
              <w:top w:val="single" w:color="D1D5DB" w:sz="1"/>
              <w:left w:val="single" w:color="D1D5DB" w:sz="1"/>
              <w:bottom w:val="single" w:color="D1D5DB" w:sz="1"/>
              <w:right w:val="single" w:color="D1D5DB" w:sz="1"/>
            </w:tcBorders>
            <w:shd w:fill="F0FAF7" w:val="clear"/>
            <w:tcMar>
              <w:top w:type="dxa" w:w="80"/>
              <w:left w:type="dxa" w:w="120"/>
              <w:bottom w:type="dxa" w:w="80"/>
              <w:right w:type="dxa" w:w="120"/>
            </w:tcMar>
          </w:tcPr>
          <w:p>
            <w:r>
              <w:rPr>
                <w:rFonts w:ascii="Arial" w:cs="Arial" w:eastAsia="Arial" w:hAnsi="Arial"/>
                <w:b/>
                <w:bCs/>
                <w:color w:val="1A1A2E"/>
                <w:sz w:val="20"/>
                <w:szCs w:val="20"/>
              </w:rPr>
              <w:t xml:space="preserve">Amount</w:t>
            </w:r>
          </w:p>
        </w:tc>
        <w:tc>
          <w:tcPr>
            <w:tcW w:type="dxa" w:w="1000"/>
            <w:tcBorders>
              <w:top w:val="single" w:color="D1D5DB" w:sz="1"/>
              <w:left w:val="single" w:color="D1D5DB" w:sz="1"/>
              <w:bottom w:val="single" w:color="D1D5DB" w:sz="1"/>
              <w:right w:val="single" w:color="D1D5DB" w:sz="1"/>
            </w:tcBorders>
            <w:shd w:fill="F0FAF7" w:val="clear"/>
            <w:tcMar>
              <w:top w:type="dxa" w:w="80"/>
              <w:left w:type="dxa" w:w="120"/>
              <w:bottom w:type="dxa" w:w="80"/>
              <w:right w:type="dxa" w:w="120"/>
            </w:tcMar>
          </w:tcPr>
          <w:p>
            <w:r>
              <w:rPr>
                <w:rFonts w:ascii="Arial" w:cs="Arial" w:eastAsia="Arial" w:hAnsi="Arial"/>
                <w:b/>
                <w:bCs/>
                <w:color w:val="1A1A2E"/>
                <w:sz w:val="20"/>
                <w:szCs w:val="20"/>
              </w:rPr>
              <w:t xml:space="preserve">Bonus</w:t>
            </w:r>
          </w:p>
        </w:tc>
        <w:tc>
          <w:tcPr>
            <w:tcW w:type="dxa" w:w="2000"/>
            <w:tcBorders>
              <w:top w:val="single" w:color="D1D5DB" w:sz="1"/>
              <w:left w:val="single" w:color="D1D5DB" w:sz="1"/>
              <w:bottom w:val="single" w:color="D1D5DB" w:sz="1"/>
              <w:right w:val="single" w:color="D1D5DB" w:sz="1"/>
            </w:tcBorders>
            <w:shd w:fill="F0FAF7" w:val="clear"/>
            <w:tcMar>
              <w:top w:type="dxa" w:w="80"/>
              <w:left w:type="dxa" w:w="120"/>
              <w:bottom w:type="dxa" w:w="80"/>
              <w:right w:type="dxa" w:w="120"/>
            </w:tcMar>
          </w:tcPr>
          <w:p>
            <w:r>
              <w:rPr>
                <w:rFonts w:ascii="Arial" w:cs="Arial" w:eastAsia="Arial" w:hAnsi="Arial"/>
                <w:b/>
                <w:bCs/>
                <w:color w:val="1A1A2E"/>
                <w:sz w:val="20"/>
                <w:szCs w:val="20"/>
              </w:rPr>
              <w:t xml:space="preserve">Credit Received</w:t>
            </w:r>
          </w:p>
        </w:tc>
        <w:tc>
          <w:tcPr>
            <w:tcW w:type="dxa" w:w="2500"/>
            <w:tcBorders>
              <w:top w:val="single" w:color="D1D5DB" w:sz="1"/>
              <w:left w:val="single" w:color="D1D5DB" w:sz="1"/>
              <w:bottom w:val="single" w:color="D1D5DB" w:sz="1"/>
              <w:right w:val="single" w:color="D1D5DB" w:sz="1"/>
            </w:tcBorders>
            <w:shd w:fill="F0FAF7" w:val="clear"/>
            <w:tcMar>
              <w:top w:type="dxa" w:w="80"/>
              <w:left w:type="dxa" w:w="120"/>
              <w:bottom w:type="dxa" w:w="80"/>
              <w:right w:type="dxa" w:w="120"/>
            </w:tcMar>
          </w:tcPr>
          <w:p>
            <w:r>
              <w:rPr>
                <w:rFonts w:ascii="Arial" w:cs="Arial" w:eastAsia="Arial" w:hAnsi="Arial"/>
                <w:b/>
                <w:bCs/>
                <w:color w:val="1A1A2E"/>
                <w:sz w:val="20"/>
                <w:szCs w:val="20"/>
              </w:rPr>
              <w:t xml:space="preserve">Stripe Fee</w:t>
            </w:r>
          </w:p>
        </w:tc>
        <w:tc>
          <w:tcPr>
            <w:tcW w:type="dxa" w:w="2460"/>
            <w:tcBorders>
              <w:top w:val="single" w:color="D1D5DB" w:sz="1"/>
              <w:left w:val="single" w:color="D1D5DB" w:sz="1"/>
              <w:bottom w:val="single" w:color="D1D5DB" w:sz="1"/>
              <w:right w:val="single" w:color="D1D5DB" w:sz="1"/>
            </w:tcBorders>
            <w:shd w:fill="F0FAF7" w:val="clear"/>
            <w:tcMar>
              <w:top w:type="dxa" w:w="80"/>
              <w:left w:type="dxa" w:w="120"/>
              <w:bottom w:type="dxa" w:w="80"/>
              <w:right w:type="dxa" w:w="120"/>
            </w:tcMar>
          </w:tcPr>
          <w:p>
            <w:r>
              <w:rPr>
                <w:rFonts w:ascii="Arial" w:cs="Arial" w:eastAsia="Arial" w:hAnsi="Arial"/>
                <w:b/>
                <w:bCs/>
                <w:color w:val="1A1A2E"/>
                <w:sz w:val="20"/>
                <w:szCs w:val="20"/>
              </w:rPr>
              <w:t xml:space="preserve">Net to You</w:t>
            </w:r>
          </w:p>
        </w:tc>
      </w:tr>
      <w:tr>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$10</w:t>
            </w:r>
          </w:p>
        </w:tc>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0%</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$10.00</w:t>
            </w:r>
          </w:p>
        </w:tc>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$0.59 (5.9%)</w:t>
            </w:r>
          </w:p>
        </w:tc>
        <w:tc>
          <w:tcPr>
            <w:tcW w:type="dxa" w:w="24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$9.41</w:t>
            </w:r>
          </w:p>
        </w:tc>
      </w:tr>
      <w:tr>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$20</w:t>
            </w:r>
          </w:p>
        </w:tc>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5%</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$21.00</w:t>
            </w:r>
          </w:p>
        </w:tc>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$0.88 (4.4%)</w:t>
            </w:r>
          </w:p>
        </w:tc>
        <w:tc>
          <w:tcPr>
            <w:tcW w:type="dxa" w:w="24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$19.12</w:t>
            </w:r>
          </w:p>
        </w:tc>
      </w:tr>
      <w:tr>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$30</w:t>
            </w:r>
          </w:p>
        </w:tc>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10%</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$33.00</w:t>
            </w:r>
          </w:p>
        </w:tc>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$1.17 (3.9%)</w:t>
            </w:r>
          </w:p>
        </w:tc>
        <w:tc>
          <w:tcPr>
            <w:tcW w:type="dxa" w:w="24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$28.83</w:t>
            </w:r>
          </w:p>
        </w:tc>
      </w:tr>
      <w:tr>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$50</w:t>
            </w:r>
          </w:p>
        </w:tc>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20%</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$60.00</w:t>
            </w:r>
          </w:p>
        </w:tc>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$1.75 (3.5%)</w:t>
            </w:r>
          </w:p>
        </w:tc>
        <w:tc>
          <w:tcPr>
            <w:tcW w:type="dxa" w:w="24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$48.25</w:t>
            </w:r>
          </w:p>
        </w:tc>
      </w:tr>
      <w:tr>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$100</w:t>
            </w:r>
          </w:p>
        </w:tc>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30%</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$130.00</w:t>
            </w:r>
          </w:p>
        </w:tc>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$3.20 (3.2%)</w:t>
            </w:r>
          </w:p>
        </w:tc>
        <w:tc>
          <w:tcPr>
            <w:tcW w:type="dxa" w:w="24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$96.80</w:t>
            </w:r>
          </w:p>
        </w:tc>
      </w:tr>
    </w:tbl>
    <w:p>
      <w:pPr>
        <w:spacing w:after="160"/>
      </w:pPr>
    </w:p>
    <w:p>
      <w:pPr>
        <w:pStyle w:val="Heading2"/>
        <w:spacing w:after="150" w:before="300"/>
      </w:pPr>
      <w:r>
        <w:rPr>
          <w:rFonts w:ascii="Arial" w:cs="Arial" w:eastAsia="Arial" w:hAnsi="Arial"/>
          <w:b/>
          <w:bCs/>
          <w:color w:val="1A1A2E"/>
          <w:sz w:val="26"/>
          <w:szCs w:val="26"/>
        </w:rPr>
        <w:t xml:space="preserve">3.6 Referral System</w:t>
      </w:r>
    </w:p>
    <w:p>
      <w:pPr>
        <w:spacing w:after="120"/>
      </w:pPr>
      <w:r>
        <w:rPr>
          <w:rFonts w:ascii="Arial" w:cs="Arial" w:eastAsia="Arial" w:hAnsi="Arial"/>
          <w:color w:val="374151"/>
          <w:sz w:val="21"/>
          <w:szCs w:val="21"/>
        </w:rPr>
        <w:t xml:space="preserve">Two-sided referral program: both referrer and referred user receive $2.00 free credit when the referred user makes their first $10+ recharge. Sharing is optimized for WhatsApp (primary channel for diaspora communities), SMS, and native share sheet.</w:t>
      </w:r>
    </w:p>
    <w:p>
      <w:pPr>
        <w:spacing w:after="160"/>
      </w:pPr>
    </w:p>
    <w:p>
      <w:pPr>
        <w:spacing w:after="100" w:before="200"/>
      </w:pPr>
      <w:r>
        <w:rPr>
          <w:rFonts w:ascii="Arial" w:cs="Arial" w:eastAsia="Arial" w:hAnsi="Arial"/>
          <w:b/>
          <w:bCs/>
          <w:color w:val="374151"/>
          <w:sz w:val="22"/>
          <w:szCs w:val="22"/>
        </w:rPr>
        <w:t xml:space="preserve">Referral Flow:</w:t>
      </w:r>
    </w:p>
    <w:p>
      <w:pPr>
        <w:spacing w:after="120"/>
      </w:pPr>
      <w:r>
        <w:rPr>
          <w:rFonts w:ascii="Arial" w:cs="Arial" w:eastAsia="Arial" w:hAnsi="Arial"/>
          <w:color w:val="374151"/>
          <w:sz w:val="21"/>
          <w:szCs w:val="21"/>
        </w:rPr>
        <w:t xml:space="preserve">1. User gets unique referral code (CG-XXXX) and shareable link</w:t>
      </w:r>
    </w:p>
    <w:p>
      <w:pPr>
        <w:spacing w:after="120"/>
      </w:pPr>
      <w:r>
        <w:rPr>
          <w:rFonts w:ascii="Arial" w:cs="Arial" w:eastAsia="Arial" w:hAnsi="Arial"/>
          <w:color w:val="374151"/>
          <w:sz w:val="21"/>
          <w:szCs w:val="21"/>
        </w:rPr>
        <w:t xml:space="preserve">2. Shares via WhatsApp with pre-written message highlighting the $0.06/min vs $0.12/min value prop</w:t>
      </w:r>
    </w:p>
    <w:p>
      <w:pPr>
        <w:spacing w:after="120"/>
      </w:pPr>
      <w:r>
        <w:rPr>
          <w:rFonts w:ascii="Arial" w:cs="Arial" w:eastAsia="Arial" w:hAnsi="Arial"/>
          <w:color w:val="374151"/>
          <w:sz w:val="21"/>
          <w:szCs w:val="21"/>
        </w:rPr>
        <w:t xml:space="preserve">3. Friend signs up using referral link, gets $2.50 welcome credit</w:t>
      </w:r>
    </w:p>
    <w:p>
      <w:pPr>
        <w:spacing w:after="120"/>
      </w:pPr>
      <w:r>
        <w:rPr>
          <w:rFonts w:ascii="Arial" w:cs="Arial" w:eastAsia="Arial" w:hAnsi="Arial"/>
          <w:color w:val="374151"/>
          <w:sz w:val="21"/>
          <w:szCs w:val="21"/>
        </w:rPr>
        <w:t xml:space="preserve">4. Friend makes first $10+ recharge</w:t>
      </w:r>
    </w:p>
    <w:p>
      <w:pPr>
        <w:spacing w:after="120"/>
      </w:pPr>
      <w:r>
        <w:rPr>
          <w:rFonts w:ascii="Arial" w:cs="Arial" w:eastAsia="Arial" w:hAnsi="Arial"/>
          <w:color w:val="374151"/>
          <w:sz w:val="21"/>
          <w:szCs w:val="21"/>
        </w:rPr>
        <w:t xml:space="preserve">5. Both users automatically receive $2.00 bonus credit</w:t>
      </w:r>
    </w:p>
    <w:p>
      <w:pPr>
        <w:spacing w:after="120"/>
      </w:pPr>
      <w:r>
        <w:rPr>
          <w:rFonts w:ascii="Arial" w:cs="Arial" w:eastAsia="Arial" w:hAnsi="Arial"/>
          <w:color w:val="374151"/>
          <w:sz w:val="21"/>
          <w:szCs w:val="21"/>
        </w:rPr>
        <w:t xml:space="preserve">6. Referrer can track referral count and earnings in the Invite tab</w:t>
      </w:r>
    </w:p>
    <w:p>
      <w:pPr>
        <w:spacing w:after="160"/>
      </w:pPr>
    </w:p>
    <w:p>
      <w:pPr>
        <w:spacing w:after="100" w:before="200"/>
      </w:pPr>
      <w:r>
        <w:rPr>
          <w:rFonts w:ascii="Arial" w:cs="Arial" w:eastAsia="Arial" w:hAnsi="Arial"/>
          <w:b/>
          <w:bCs/>
          <w:color w:val="374151"/>
          <w:sz w:val="22"/>
          <w:szCs w:val="22"/>
        </w:rPr>
        <w:t xml:space="preserve">Expected CAC via Referrals:</w:t>
      </w:r>
    </w:p>
    <w:p>
      <w:pPr>
        <w:spacing w:after="120"/>
      </w:pPr>
      <w:r>
        <w:rPr>
          <w:rFonts w:ascii="Arial" w:cs="Arial" w:eastAsia="Arial" w:hAnsi="Arial"/>
          <w:color w:val="374151"/>
          <w:sz w:val="21"/>
          <w:szCs w:val="21"/>
        </w:rPr>
        <w:t xml:space="preserve">Cost: $4.00 per acquired user ($2.00 x 2 sides). If that user spends $10/month with 55% margin, payback period is less than 1 month. This is extremely efficient compared to paid acquisition ($5-10 per install on Facebook/Google).</w:t>
      </w:r>
    </w:p>
    <w:p>
      <w:r>
        <w:br w:type="page"/>
      </w:r>
    </w:p>
    <w:p>
      <w:pPr>
        <w:pStyle w:val="Heading1"/>
        <w:spacing w:after="200" w:before="400"/>
      </w:pPr>
      <w:r>
        <w:rPr>
          <w:rFonts w:ascii="Arial" w:cs="Arial" w:eastAsia="Arial" w:hAnsi="Arial"/>
          <w:b/>
          <w:bCs/>
          <w:color w:val="0A7B61"/>
          <w:sz w:val="32"/>
          <w:szCs w:val="32"/>
        </w:rPr>
        <w:t xml:space="preserve">4. Technical Architecture</w:t>
      </w:r>
    </w:p>
    <w:p>
      <w:pPr>
        <w:pStyle w:val="Heading2"/>
        <w:spacing w:after="150" w:before="300"/>
      </w:pPr>
      <w:r>
        <w:rPr>
          <w:rFonts w:ascii="Arial" w:cs="Arial" w:eastAsia="Arial" w:hAnsi="Arial"/>
          <w:b/>
          <w:bCs/>
          <w:color w:val="1A1A2E"/>
          <w:sz w:val="26"/>
          <w:szCs w:val="26"/>
        </w:rPr>
        <w:t xml:space="preserve">4.1 System Overview</w:t>
      </w:r>
    </w:p>
    <w:p>
      <w:pPr>
        <w:spacing w:after="120"/>
      </w:pPr>
      <w:r>
        <w:rPr>
          <w:rFonts w:ascii="Arial" w:cs="Arial" w:eastAsia="Arial" w:hAnsi="Arial"/>
          <w:color w:val="374151"/>
          <w:sz w:val="21"/>
          <w:szCs w:val="21"/>
        </w:rPr>
        <w:t xml:space="preserve">CallGlobe is a full-stack application with a React PWA frontend, Supabase backend (PostgreSQL + Edge Functions + Auth + Realtime), Telnyx for telephony (WebRTC + PSTN), and Stripe for payments.</w:t>
      </w:r>
    </w:p>
    <w:p>
      <w:pPr>
        <w:spacing w:after="160"/>
      </w:pPr>
    </w:p>
    <w:p>
      <w:pPr>
        <w:spacing w:after="100" w:before="200"/>
      </w:pPr>
      <w:r>
        <w:rPr>
          <w:rFonts w:ascii="Arial" w:cs="Arial" w:eastAsia="Arial" w:hAnsi="Arial"/>
          <w:b/>
          <w:bCs/>
          <w:color w:val="374151"/>
          <w:sz w:val="22"/>
          <w:szCs w:val="22"/>
        </w:rPr>
        <w:t xml:space="preserve">Architecture Diagram:</w:t>
      </w:r>
    </w:p>
    <w:p>
      <w:pPr>
        <w:spacing w:after="120"/>
      </w:pPr>
      <w:r>
        <w:rPr>
          <w:rFonts w:ascii="Arial" w:cs="Arial" w:eastAsia="Arial" w:hAnsi="Arial"/>
          <w:color w:val="374151"/>
          <w:sz w:val="21"/>
          <w:szCs w:val="21"/>
        </w:rPr>
        <w:t xml:space="preserve">[User Phone] --&gt; [React PWA / Capacitor Native App]</w:t>
      </w:r>
    </w:p>
    <w:p>
      <w:pPr>
        <w:spacing w:after="120"/>
      </w:pPr>
      <w:r>
        <w:rPr>
          <w:rFonts w:ascii="Arial" w:cs="Arial" w:eastAsia="Arial" w:hAnsi="Arial"/>
          <w:color w:val="374151"/>
          <w:sz w:val="21"/>
          <w:szCs w:val="21"/>
        </w:rPr>
        <w:t xml:space="preserve">    |-- Auth, Data, Realtime --&gt; [Supabase]</w:t>
      </w:r>
    </w:p>
    <w:p>
      <w:pPr>
        <w:spacing w:after="120"/>
      </w:pPr>
      <w:r>
        <w:rPr>
          <w:rFonts w:ascii="Arial" w:cs="Arial" w:eastAsia="Arial" w:hAnsi="Arial"/>
          <w:color w:val="374151"/>
          <w:sz w:val="21"/>
          <w:szCs w:val="21"/>
        </w:rPr>
        <w:t xml:space="preserve">    |-- WebRTC Calls --&gt; [Telnyx SIP/PSTN Gateway]</w:t>
      </w:r>
    </w:p>
    <w:p>
      <w:pPr>
        <w:spacing w:after="120"/>
      </w:pPr>
      <w:r>
        <w:rPr>
          <w:rFonts w:ascii="Arial" w:cs="Arial" w:eastAsia="Arial" w:hAnsi="Arial"/>
          <w:color w:val="374151"/>
          <w:sz w:val="21"/>
          <w:szCs w:val="21"/>
        </w:rPr>
        <w:t xml:space="preserve">    |-- Payments --&gt; [Stripe Checkout]</w:t>
      </w:r>
    </w:p>
    <w:p>
      <w:pPr>
        <w:spacing w:after="120"/>
      </w:pPr>
      <w:r>
        <w:rPr>
          <w:rFonts w:ascii="Arial" w:cs="Arial" w:eastAsia="Arial" w:hAnsi="Arial"/>
          <w:color w:val="374151"/>
          <w:sz w:val="21"/>
          <w:szCs w:val="21"/>
        </w:rPr>
        <w:t xml:space="preserve">[Telnyx Webhooks] --&gt; [Supabase Edge Functions] --&gt; [Database]</w:t>
      </w:r>
    </w:p>
    <w:p>
      <w:pPr>
        <w:spacing w:after="120"/>
      </w:pPr>
      <w:r>
        <w:rPr>
          <w:rFonts w:ascii="Arial" w:cs="Arial" w:eastAsia="Arial" w:hAnsi="Arial"/>
          <w:color w:val="374151"/>
          <w:sz w:val="21"/>
          <w:szCs w:val="21"/>
        </w:rPr>
        <w:t xml:space="preserve">[Stripe Webhooks] --&gt; [Supabase Edge Functions] --&gt; [Database]</w:t>
      </w:r>
    </w:p>
    <w:p>
      <w:pPr>
        <w:spacing w:after="160"/>
      </w:pPr>
    </w:p>
    <w:p>
      <w:pPr>
        <w:pStyle w:val="Heading2"/>
        <w:spacing w:after="150" w:before="300"/>
      </w:pPr>
      <w:r>
        <w:rPr>
          <w:rFonts w:ascii="Arial" w:cs="Arial" w:eastAsia="Arial" w:hAnsi="Arial"/>
          <w:b/>
          <w:bCs/>
          <w:color w:val="1A1A2E"/>
          <w:sz w:val="26"/>
          <w:szCs w:val="26"/>
        </w:rPr>
        <w:t xml:space="preserve">4.2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500"/>
        <w:gridCol w:w="3460"/>
      </w:tblGrid>
      <w:tr>
        <w:tc>
          <w:tcPr>
            <w:tcW w:type="dxa" w:w="2400"/>
            <w:tcBorders>
              <w:top w:val="single" w:color="D1D5DB" w:sz="1"/>
              <w:left w:val="single" w:color="D1D5DB" w:sz="1"/>
              <w:bottom w:val="single" w:color="D1D5DB" w:sz="1"/>
              <w:right w:val="single" w:color="D1D5DB" w:sz="1"/>
            </w:tcBorders>
            <w:shd w:fill="F0FAF7" w:val="clear"/>
            <w:tcMar>
              <w:top w:type="dxa" w:w="80"/>
              <w:left w:type="dxa" w:w="120"/>
              <w:bottom w:type="dxa" w:w="80"/>
              <w:right w:type="dxa" w:w="120"/>
            </w:tcMar>
          </w:tcPr>
          <w:p>
            <w:r>
              <w:rPr>
                <w:rFonts w:ascii="Arial" w:cs="Arial" w:eastAsia="Arial" w:hAnsi="Arial"/>
                <w:b/>
                <w:bCs/>
                <w:color w:val="1A1A2E"/>
                <w:sz w:val="20"/>
                <w:szCs w:val="20"/>
              </w:rPr>
              <w:t xml:space="preserve">Layer</w:t>
            </w:r>
          </w:p>
        </w:tc>
        <w:tc>
          <w:tcPr>
            <w:tcW w:type="dxa" w:w="3500"/>
            <w:tcBorders>
              <w:top w:val="single" w:color="D1D5DB" w:sz="1"/>
              <w:left w:val="single" w:color="D1D5DB" w:sz="1"/>
              <w:bottom w:val="single" w:color="D1D5DB" w:sz="1"/>
              <w:right w:val="single" w:color="D1D5DB" w:sz="1"/>
            </w:tcBorders>
            <w:shd w:fill="F0FAF7" w:val="clear"/>
            <w:tcMar>
              <w:top w:type="dxa" w:w="80"/>
              <w:left w:type="dxa" w:w="120"/>
              <w:bottom w:type="dxa" w:w="80"/>
              <w:right w:type="dxa" w:w="120"/>
            </w:tcMar>
          </w:tcPr>
          <w:p>
            <w:r>
              <w:rPr>
                <w:rFonts w:ascii="Arial" w:cs="Arial" w:eastAsia="Arial" w:hAnsi="Arial"/>
                <w:b/>
                <w:bCs/>
                <w:color w:val="1A1A2E"/>
                <w:sz w:val="20"/>
                <w:szCs w:val="20"/>
              </w:rPr>
              <w:t xml:space="preserve">Technology</w:t>
            </w:r>
          </w:p>
        </w:tc>
        <w:tc>
          <w:tcPr>
            <w:tcW w:type="dxa" w:w="3460"/>
            <w:tcBorders>
              <w:top w:val="single" w:color="D1D5DB" w:sz="1"/>
              <w:left w:val="single" w:color="D1D5DB" w:sz="1"/>
              <w:bottom w:val="single" w:color="D1D5DB" w:sz="1"/>
              <w:right w:val="single" w:color="D1D5DB" w:sz="1"/>
            </w:tcBorders>
            <w:shd w:fill="F0FAF7" w:val="clear"/>
            <w:tcMar>
              <w:top w:type="dxa" w:w="80"/>
              <w:left w:type="dxa" w:w="120"/>
              <w:bottom w:type="dxa" w:w="80"/>
              <w:right w:type="dxa" w:w="120"/>
            </w:tcMar>
          </w:tcPr>
          <w:p>
            <w:r>
              <w:rPr>
                <w:rFonts w:ascii="Arial" w:cs="Arial" w:eastAsia="Arial" w:hAnsi="Arial"/>
                <w:b/>
                <w:bCs/>
                <w:color w:val="1A1A2E"/>
                <w:sz w:val="20"/>
                <w:szCs w:val="20"/>
              </w:rPr>
              <w:t xml:space="preserve">Purpose</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Frontend</w:t>
            </w:r>
          </w:p>
        </w:tc>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React 18 + Vite</w:t>
            </w:r>
          </w:p>
        </w:tc>
        <w:tc>
          <w:tcPr>
            <w:tcW w:type="dxa" w:w="34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Mobile-first PWA with offline support</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Native Wrapper</w:t>
            </w:r>
          </w:p>
        </w:tc>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Capacitor</w:t>
            </w:r>
          </w:p>
        </w:tc>
        <w:tc>
          <w:tcPr>
            <w:tcW w:type="dxa" w:w="34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iOS/Android app store deployment</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UI Framework</w:t>
            </w:r>
          </w:p>
        </w:tc>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Custom CSS-in-JS</w:t>
            </w:r>
          </w:p>
        </w:tc>
        <w:tc>
          <w:tcPr>
            <w:tcW w:type="dxa" w:w="34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Dark theme, mobile-optimized</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Calling Engine</w:t>
            </w:r>
          </w:p>
        </w:tc>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Telnyx WebRTC SDK (@telnyx/webrtc)</w:t>
            </w:r>
          </w:p>
        </w:tc>
        <w:tc>
          <w:tcPr>
            <w:tcW w:type="dxa" w:w="34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Browser-to-PSTN voice calls</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Authentication</w:t>
            </w:r>
          </w:p>
        </w:tc>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Supabase Auth</w:t>
            </w:r>
          </w:p>
        </w:tc>
        <w:tc>
          <w:tcPr>
            <w:tcW w:type="dxa" w:w="34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Email/password signup, JWT tokens</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Database</w:t>
            </w:r>
          </w:p>
        </w:tc>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Supabase PostgreSQL</w:t>
            </w:r>
          </w:p>
        </w:tc>
        <w:tc>
          <w:tcPr>
            <w:tcW w:type="dxa" w:w="34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Users, balances, call logs, rates, referrals</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Realtime</w:t>
            </w:r>
          </w:p>
        </w:tc>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Supabase Realtime</w:t>
            </w:r>
          </w:p>
        </w:tc>
        <w:tc>
          <w:tcPr>
            <w:tcW w:type="dxa" w:w="34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Live balance updates during calls</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Backend Functions</w:t>
            </w:r>
          </w:p>
        </w:tc>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Supabase Edge Functions (Deno)</w:t>
            </w:r>
          </w:p>
        </w:tc>
        <w:tc>
          <w:tcPr>
            <w:tcW w:type="dxa" w:w="34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Webhooks, checkout, billing</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Payments</w:t>
            </w:r>
          </w:p>
        </w:tc>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Stripe Checkout</w:t>
            </w:r>
          </w:p>
        </w:tc>
        <w:tc>
          <w:tcPr>
            <w:tcW w:type="dxa" w:w="34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PCI-compliant card payments</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Telephony</w:t>
            </w:r>
          </w:p>
        </w:tc>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Telnyx Voice API</w:t>
            </w:r>
          </w:p>
        </w:tc>
        <w:tc>
          <w:tcPr>
            <w:tcW w:type="dxa" w:w="34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SIP, WebRTC, DID provisioning, PSTN routing</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Push Notifications</w:t>
            </w:r>
          </w:p>
        </w:tc>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Firebase Cloud Messaging / APNs</w:t>
            </w:r>
          </w:p>
        </w:tc>
        <w:tc>
          <w:tcPr>
            <w:tcW w:type="dxa" w:w="34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Incoming call alerts</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Hosting</w:t>
            </w:r>
          </w:p>
        </w:tc>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Vercel</w:t>
            </w:r>
          </w:p>
        </w:tc>
        <w:tc>
          <w:tcPr>
            <w:tcW w:type="dxa" w:w="34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Frontend deployment, CDN</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Domain</w:t>
            </w:r>
          </w:p>
        </w:tc>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callglobe.app</w:t>
            </w:r>
          </w:p>
        </w:tc>
        <w:tc>
          <w:tcPr>
            <w:tcW w:type="dxa" w:w="34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Primary domain</w:t>
            </w:r>
          </w:p>
        </w:tc>
      </w:tr>
    </w:tbl>
    <w:p>
      <w:pPr>
        <w:spacing w:after="160"/>
      </w:pPr>
    </w:p>
    <w:p>
      <w:pPr>
        <w:pStyle w:val="Heading2"/>
        <w:spacing w:after="150" w:before="300"/>
      </w:pPr>
      <w:r>
        <w:rPr>
          <w:rFonts w:ascii="Arial" w:cs="Arial" w:eastAsia="Arial" w:hAnsi="Arial"/>
          <w:b/>
          <w:bCs/>
          <w:color w:val="1A1A2E"/>
          <w:sz w:val="26"/>
          <w:szCs w:val="26"/>
        </w:rPr>
        <w:t xml:space="preserve">4.3 Database Schema</w:t>
      </w:r>
    </w:p>
    <w:p>
      <w:pPr>
        <w:spacing w:after="120"/>
      </w:pPr>
      <w:r>
        <w:rPr>
          <w:rFonts w:ascii="Arial" w:cs="Arial" w:eastAsia="Arial" w:hAnsi="Arial"/>
          <w:color w:val="374151"/>
          <w:sz w:val="21"/>
          <w:szCs w:val="21"/>
        </w:rPr>
        <w:t xml:space="preserve">PostgreSQL database hosted on Supabase with Row Level Security (RLS) on all tables.</w:t>
      </w:r>
    </w:p>
    <w:p>
      <w:pPr>
        <w:spacing w:after="160"/>
      </w:pPr>
    </w:p>
    <w:p>
      <w:pPr>
        <w:spacing w:after="100" w:before="200"/>
      </w:pPr>
      <w:r>
        <w:rPr>
          <w:rFonts w:ascii="Arial" w:cs="Arial" w:eastAsia="Arial" w:hAnsi="Arial"/>
          <w:b/>
          <w:bCs/>
          <w:color w:val="374151"/>
          <w:sz w:val="22"/>
          <w:szCs w:val="22"/>
        </w:rPr>
        <w:t xml:space="preserve">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D1D5DB" w:sz="1"/>
              <w:left w:val="single" w:color="D1D5DB" w:sz="1"/>
              <w:bottom w:val="single" w:color="D1D5DB" w:sz="1"/>
              <w:right w:val="single" w:color="D1D5DB" w:sz="1"/>
            </w:tcBorders>
            <w:shd w:fill="F0FAF7" w:val="clear"/>
            <w:tcMar>
              <w:top w:type="dxa" w:w="80"/>
              <w:left w:type="dxa" w:w="120"/>
              <w:bottom w:type="dxa" w:w="80"/>
              <w:right w:type="dxa" w:w="120"/>
            </w:tcMar>
          </w:tcPr>
          <w:p>
            <w:r>
              <w:rPr>
                <w:rFonts w:ascii="Arial" w:cs="Arial" w:eastAsia="Arial" w:hAnsi="Arial"/>
                <w:b/>
                <w:bCs/>
                <w:color w:val="1A1A2E"/>
                <w:sz w:val="20"/>
                <w:szCs w:val="20"/>
              </w:rPr>
              <w:t xml:space="preserve">Table</w:t>
            </w:r>
          </w:p>
        </w:tc>
        <w:tc>
          <w:tcPr>
            <w:tcW w:type="dxa" w:w="3000"/>
            <w:tcBorders>
              <w:top w:val="single" w:color="D1D5DB" w:sz="1"/>
              <w:left w:val="single" w:color="D1D5DB" w:sz="1"/>
              <w:bottom w:val="single" w:color="D1D5DB" w:sz="1"/>
              <w:right w:val="single" w:color="D1D5DB" w:sz="1"/>
            </w:tcBorders>
            <w:shd w:fill="F0FAF7" w:val="clear"/>
            <w:tcMar>
              <w:top w:type="dxa" w:w="80"/>
              <w:left w:type="dxa" w:w="120"/>
              <w:bottom w:type="dxa" w:w="80"/>
              <w:right w:type="dxa" w:w="120"/>
            </w:tcMar>
          </w:tcPr>
          <w:p>
            <w:r>
              <w:rPr>
                <w:rFonts w:ascii="Arial" w:cs="Arial" w:eastAsia="Arial" w:hAnsi="Arial"/>
                <w:b/>
                <w:bCs/>
                <w:color w:val="1A1A2E"/>
                <w:sz w:val="20"/>
                <w:szCs w:val="20"/>
              </w:rPr>
              <w:t xml:space="preserve">Purpose</w:t>
            </w:r>
          </w:p>
        </w:tc>
        <w:tc>
          <w:tcPr>
            <w:tcW w:type="dxa" w:w="4160"/>
            <w:tcBorders>
              <w:top w:val="single" w:color="D1D5DB" w:sz="1"/>
              <w:left w:val="single" w:color="D1D5DB" w:sz="1"/>
              <w:bottom w:val="single" w:color="D1D5DB" w:sz="1"/>
              <w:right w:val="single" w:color="D1D5DB" w:sz="1"/>
            </w:tcBorders>
            <w:shd w:fill="F0FAF7" w:val="clear"/>
            <w:tcMar>
              <w:top w:type="dxa" w:w="80"/>
              <w:left w:type="dxa" w:w="120"/>
              <w:bottom w:type="dxa" w:w="80"/>
              <w:right w:type="dxa" w:w="120"/>
            </w:tcMar>
          </w:tcPr>
          <w:p>
            <w:r>
              <w:rPr>
                <w:rFonts w:ascii="Arial" w:cs="Arial" w:eastAsia="Arial" w:hAnsi="Arial"/>
                <w:b/>
                <w:bCs/>
                <w:color w:val="1A1A2E"/>
                <w:sz w:val="20"/>
                <w:szCs w:val="20"/>
              </w:rPr>
              <w:t xml:space="preserve">Key Fields</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profiles</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User accounts (extends auth.users)</w:t>
            </w:r>
          </w:p>
        </w:tc>
        <w:tc>
          <w:tcPr>
            <w:tcW w:type="dxa" w:w="4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id, email, full_name, balance, referral_code, referred_by</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call_rates</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Per-minute rates by country</w:t>
            </w:r>
          </w:p>
        </w:tc>
        <w:tc>
          <w:tcPr>
            <w:tcW w:type="dxa" w:w="4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country_code, dial_code, rate_per_min, cost_per_min</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recharge_packages</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Available recharge tiers</w:t>
            </w:r>
          </w:p>
        </w:tc>
        <w:tc>
          <w:tcPr>
            <w:tcW w:type="dxa" w:w="4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amount, credit, bonus_percent, stripe_price_id</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transactions</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Balance changes (recharge + deductions)</w:t>
            </w:r>
          </w:p>
        </w:tc>
        <w:tc>
          <w:tcPr>
            <w:tcW w:type="dxa" w:w="4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user_id, type, amount, balance_after, metadata</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call_logs</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Call detail records (CDR)</w:t>
            </w:r>
          </w:p>
        </w:tc>
        <w:tc>
          <w:tcPr>
            <w:tcW w:type="dxa" w:w="4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user_id, destination_number, duration, total_cost, status</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referrals</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Referral tracking</w:t>
            </w:r>
          </w:p>
        </w:tc>
        <w:tc>
          <w:tcPr>
            <w:tcW w:type="dxa" w:w="4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referrer_id, referred_id, status, referrer_credit, referred_credit</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user_numbers</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Purchased DIDs</w:t>
            </w:r>
          </w:p>
        </w:tc>
        <w:tc>
          <w:tcPr>
            <w:tcW w:type="dxa" w:w="4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user_id, number, country, telnyx_number_id, is_active_caller_id</w:t>
            </w:r>
          </w:p>
        </w:tc>
      </w:tr>
    </w:tbl>
    <w:p>
      <w:pPr>
        <w:spacing w:after="160"/>
      </w:pPr>
    </w:p>
    <w:p>
      <w:pPr>
        <w:spacing w:after="100" w:before="200"/>
      </w:pPr>
      <w:r>
        <w:rPr>
          <w:rFonts w:ascii="Arial" w:cs="Arial" w:eastAsia="Arial" w:hAnsi="Arial"/>
          <w:b/>
          <w:bCs/>
          <w:color w:val="374151"/>
          <w:sz w:val="22"/>
          <w:szCs w:val="22"/>
        </w:rPr>
        <w:t xml:space="preserve">Key Database Functions (Atomic Operations):</w:t>
      </w:r>
    </w:p>
    <w:p>
      <w:pPr>
        <w:spacing w:after="120"/>
      </w:pPr>
      <w:r>
        <w:rPr>
          <w:rFonts w:ascii="Arial" w:cs="Arial" w:eastAsia="Arial" w:hAnsi="Arial"/>
          <w:color w:val="374151"/>
          <w:sz w:val="21"/>
          <w:szCs w:val="21"/>
        </w:rPr>
        <w:t xml:space="preserve">add_balance(user_id, amount) - Atomically adds credit and creates transaction record</w:t>
      </w:r>
    </w:p>
    <w:p>
      <w:pPr>
        <w:spacing w:after="120"/>
      </w:pPr>
      <w:r>
        <w:rPr>
          <w:rFonts w:ascii="Arial" w:cs="Arial" w:eastAsia="Arial" w:hAnsi="Arial"/>
          <w:color w:val="374151"/>
          <w:sz w:val="21"/>
          <w:szCs w:val="21"/>
        </w:rPr>
        <w:t xml:space="preserve">deduct_balance(user_id, amount) - Atomically deducts with insufficient balance check</w:t>
      </w:r>
    </w:p>
    <w:p>
      <w:pPr>
        <w:spacing w:after="120"/>
      </w:pPr>
      <w:r>
        <w:rPr>
          <w:rFonts w:ascii="Arial" w:cs="Arial" w:eastAsia="Arial" w:hAnsi="Arial"/>
          <w:color w:val="374151"/>
          <w:sz w:val="21"/>
          <w:szCs w:val="21"/>
        </w:rPr>
        <w:t xml:space="preserve">process_referral_bonus(referred_id) - Credits both users $2 on first recharge</w:t>
      </w:r>
    </w:p>
    <w:p>
      <w:pPr>
        <w:spacing w:after="120"/>
      </w:pPr>
      <w:r>
        <w:rPr>
          <w:rFonts w:ascii="Arial" w:cs="Arial" w:eastAsia="Arial" w:hAnsi="Arial"/>
          <w:color w:val="374151"/>
          <w:sz w:val="21"/>
          <w:szCs w:val="21"/>
        </w:rPr>
        <w:t xml:space="preserve">generate_referral_code() - Auto-generates unique CG-XXXXXX code on signup</w:t>
      </w:r>
    </w:p>
    <w:p>
      <w:pPr>
        <w:spacing w:after="160"/>
      </w:pPr>
    </w:p>
    <w:p>
      <w:pPr>
        <w:pStyle w:val="Heading2"/>
        <w:spacing w:after="150" w:before="300"/>
      </w:pPr>
      <w:r>
        <w:rPr>
          <w:rFonts w:ascii="Arial" w:cs="Arial" w:eastAsia="Arial" w:hAnsi="Arial"/>
          <w:b/>
          <w:bCs/>
          <w:color w:val="1A1A2E"/>
          <w:sz w:val="26"/>
          <w:szCs w:val="26"/>
        </w:rPr>
        <w:t xml:space="preserve">4.4 Edge Functions (Serverless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800"/>
        <w:gridCol w:w="4060"/>
      </w:tblGrid>
      <w:tr>
        <w:tc>
          <w:tcPr>
            <w:tcW w:type="dxa" w:w="2500"/>
            <w:tcBorders>
              <w:top w:val="single" w:color="D1D5DB" w:sz="1"/>
              <w:left w:val="single" w:color="D1D5DB" w:sz="1"/>
              <w:bottom w:val="single" w:color="D1D5DB" w:sz="1"/>
              <w:right w:val="single" w:color="D1D5DB" w:sz="1"/>
            </w:tcBorders>
            <w:shd w:fill="F0FAF7" w:val="clear"/>
            <w:tcMar>
              <w:top w:type="dxa" w:w="80"/>
              <w:left w:type="dxa" w:w="120"/>
              <w:bottom w:type="dxa" w:w="80"/>
              <w:right w:type="dxa" w:w="120"/>
            </w:tcMar>
          </w:tcPr>
          <w:p>
            <w:r>
              <w:rPr>
                <w:rFonts w:ascii="Arial" w:cs="Arial" w:eastAsia="Arial" w:hAnsi="Arial"/>
                <w:b/>
                <w:bCs/>
                <w:color w:val="1A1A2E"/>
                <w:sz w:val="20"/>
                <w:szCs w:val="20"/>
              </w:rPr>
              <w:t xml:space="preserve">Function</w:t>
            </w:r>
          </w:p>
        </w:tc>
        <w:tc>
          <w:tcPr>
            <w:tcW w:type="dxa" w:w="2800"/>
            <w:tcBorders>
              <w:top w:val="single" w:color="D1D5DB" w:sz="1"/>
              <w:left w:val="single" w:color="D1D5DB" w:sz="1"/>
              <w:bottom w:val="single" w:color="D1D5DB" w:sz="1"/>
              <w:right w:val="single" w:color="D1D5DB" w:sz="1"/>
            </w:tcBorders>
            <w:shd w:fill="F0FAF7" w:val="clear"/>
            <w:tcMar>
              <w:top w:type="dxa" w:w="80"/>
              <w:left w:type="dxa" w:w="120"/>
              <w:bottom w:type="dxa" w:w="80"/>
              <w:right w:type="dxa" w:w="120"/>
            </w:tcMar>
          </w:tcPr>
          <w:p>
            <w:r>
              <w:rPr>
                <w:rFonts w:ascii="Arial" w:cs="Arial" w:eastAsia="Arial" w:hAnsi="Arial"/>
                <w:b/>
                <w:bCs/>
                <w:color w:val="1A1A2E"/>
                <w:sz w:val="20"/>
                <w:szCs w:val="20"/>
              </w:rPr>
              <w:t xml:space="preserve">Trigger</w:t>
            </w:r>
          </w:p>
        </w:tc>
        <w:tc>
          <w:tcPr>
            <w:tcW w:type="dxa" w:w="4060"/>
            <w:tcBorders>
              <w:top w:val="single" w:color="D1D5DB" w:sz="1"/>
              <w:left w:val="single" w:color="D1D5DB" w:sz="1"/>
              <w:bottom w:val="single" w:color="D1D5DB" w:sz="1"/>
              <w:right w:val="single" w:color="D1D5DB" w:sz="1"/>
            </w:tcBorders>
            <w:shd w:fill="F0FAF7" w:val="clear"/>
            <w:tcMar>
              <w:top w:type="dxa" w:w="80"/>
              <w:left w:type="dxa" w:w="120"/>
              <w:bottom w:type="dxa" w:w="80"/>
              <w:right w:type="dxa" w:w="120"/>
            </w:tcMar>
          </w:tcPr>
          <w:p>
            <w:r>
              <w:rPr>
                <w:rFonts w:ascii="Arial" w:cs="Arial" w:eastAsia="Arial" w:hAnsi="Arial"/>
                <w:b/>
                <w:bCs/>
                <w:color w:val="1A1A2E"/>
                <w:sz w:val="20"/>
                <w:szCs w:val="20"/>
              </w:rPr>
              <w:t xml:space="preserve">Purpose</w:t>
            </w:r>
          </w:p>
        </w:tc>
      </w:tr>
      <w:tr>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create-checkout</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User taps recharge</w:t>
            </w:r>
          </w:p>
        </w:tc>
        <w:tc>
          <w:tcPr>
            <w:tcW w:type="dxa" w:w="40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Creates Stripe Checkout session with package details</w:t>
            </w:r>
          </w:p>
        </w:tc>
      </w:tr>
      <w:tr>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webhook-stripe</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Stripe payment success</w:t>
            </w:r>
          </w:p>
        </w:tc>
        <w:tc>
          <w:tcPr>
            <w:tcW w:type="dxa" w:w="40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Adds credit to user balance, triggers referral bonus check</w:t>
            </w:r>
          </w:p>
        </w:tc>
      </w:tr>
      <w:tr>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webhook-telnyx</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Call events (initiate, answer, hangup)</w:t>
            </w:r>
          </w:p>
        </w:tc>
        <w:tc>
          <w:tcPr>
            <w:tcW w:type="dxa" w:w="40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Updates call logs, calculates cost, deducts balance</w:t>
            </w:r>
          </w:p>
        </w:tc>
      </w:tr>
      <w:tr>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process-referral</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First recharge by referred user</w:t>
            </w:r>
          </w:p>
        </w:tc>
        <w:tc>
          <w:tcPr>
            <w:tcW w:type="dxa" w:w="40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Credits $2 to both referrer and referred user</w:t>
            </w:r>
          </w:p>
        </w:tc>
      </w:tr>
    </w:tbl>
    <w:p>
      <w:pPr>
        <w:spacing w:after="160"/>
      </w:pPr>
    </w:p>
    <w:p>
      <w:pPr>
        <w:pStyle w:val="Heading2"/>
        <w:spacing w:after="150" w:before="300"/>
      </w:pPr>
      <w:r>
        <w:rPr>
          <w:rFonts w:ascii="Arial" w:cs="Arial" w:eastAsia="Arial" w:hAnsi="Arial"/>
          <w:b/>
          <w:bCs/>
          <w:color w:val="1A1A2E"/>
          <w:sz w:val="26"/>
          <w:szCs w:val="26"/>
        </w:rPr>
        <w:t xml:space="preserve">4.5 Security</w:t>
      </w:r>
    </w:p>
    <w:p>
      <w:pPr>
        <w:spacing w:after="120"/>
      </w:pPr>
      <w:r>
        <w:rPr>
          <w:rFonts w:ascii="Arial" w:cs="Arial" w:eastAsia="Arial" w:hAnsi="Arial"/>
          <w:color w:val="374151"/>
          <w:sz w:val="21"/>
          <w:szCs w:val="21"/>
        </w:rPr>
        <w:t xml:space="preserve">All API calls authenticated via Supabase JWT tokens. Row Level Security ensures users can only access their own data. Stripe handles all payment card data (PCI DSS compliant). Telnyx credentials are stored as Supabase secrets, never exposed to the frontend. WebRTC connections are encrypted end-to-end via SRTP/DTLS.</w:t>
      </w:r>
    </w:p>
    <w:p>
      <w:r>
        <w:br w:type="page"/>
      </w:r>
    </w:p>
    <w:p>
      <w:pPr>
        <w:pStyle w:val="Heading1"/>
        <w:spacing w:after="200" w:before="400"/>
      </w:pPr>
      <w:r>
        <w:rPr>
          <w:rFonts w:ascii="Arial" w:cs="Arial" w:eastAsia="Arial" w:hAnsi="Arial"/>
          <w:b/>
          <w:bCs/>
          <w:color w:val="0A7B61"/>
          <w:sz w:val="32"/>
          <w:szCs w:val="32"/>
        </w:rPr>
        <w:t xml:space="preserve">5. UI/UX Design Specifications</w:t>
      </w:r>
    </w:p>
    <w:p>
      <w:pPr>
        <w:pStyle w:val="Heading2"/>
        <w:spacing w:after="150" w:before="300"/>
      </w:pPr>
      <w:r>
        <w:rPr>
          <w:rFonts w:ascii="Arial" w:cs="Arial" w:eastAsia="Arial" w:hAnsi="Arial"/>
          <w:b/>
          <w:bCs/>
          <w:color w:val="1A1A2E"/>
          <w:sz w:val="26"/>
          <w:szCs w:val="26"/>
        </w:rPr>
        <w:t xml:space="preserve">5.1 Design System</w:t>
      </w:r>
    </w:p>
    <w:p>
      <w:pPr>
        <w:spacing w:after="160"/>
      </w:pPr>
    </w:p>
    <w:p>
      <w:pPr>
        <w:spacing w:after="100" w:before="200"/>
      </w:pPr>
      <w:r>
        <w:rPr>
          <w:rFonts w:ascii="Arial" w:cs="Arial" w:eastAsia="Arial" w:hAnsi="Arial"/>
          <w:b/>
          <w:bCs/>
          <w:color w:val="374151"/>
          <w:sz w:val="22"/>
          <w:szCs w:val="22"/>
        </w:rPr>
        <w:t xml:space="preserve">Color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D1D5DB" w:sz="1"/>
              <w:left w:val="single" w:color="D1D5DB" w:sz="1"/>
              <w:bottom w:val="single" w:color="D1D5DB" w:sz="1"/>
              <w:right w:val="single" w:color="D1D5DB" w:sz="1"/>
            </w:tcBorders>
            <w:shd w:fill="F0FAF7" w:val="clear"/>
            <w:tcMar>
              <w:top w:type="dxa" w:w="80"/>
              <w:left w:type="dxa" w:w="120"/>
              <w:bottom w:type="dxa" w:w="80"/>
              <w:right w:type="dxa" w:w="120"/>
            </w:tcMar>
          </w:tcPr>
          <w:p>
            <w:r>
              <w:rPr>
                <w:rFonts w:ascii="Arial" w:cs="Arial" w:eastAsia="Arial" w:hAnsi="Arial"/>
                <w:b/>
                <w:bCs/>
                <w:color w:val="1A1A2E"/>
                <w:sz w:val="20"/>
                <w:szCs w:val="20"/>
              </w:rPr>
              <w:t xml:space="preserve">Color</w:t>
            </w:r>
          </w:p>
        </w:tc>
        <w:tc>
          <w:tcPr>
            <w:tcW w:type="dxa" w:w="3000"/>
            <w:tcBorders>
              <w:top w:val="single" w:color="D1D5DB" w:sz="1"/>
              <w:left w:val="single" w:color="D1D5DB" w:sz="1"/>
              <w:bottom w:val="single" w:color="D1D5DB" w:sz="1"/>
              <w:right w:val="single" w:color="D1D5DB" w:sz="1"/>
            </w:tcBorders>
            <w:shd w:fill="F0FAF7" w:val="clear"/>
            <w:tcMar>
              <w:top w:type="dxa" w:w="80"/>
              <w:left w:type="dxa" w:w="120"/>
              <w:bottom w:type="dxa" w:w="80"/>
              <w:right w:type="dxa" w:w="120"/>
            </w:tcMar>
          </w:tcPr>
          <w:p>
            <w:r>
              <w:rPr>
                <w:rFonts w:ascii="Arial" w:cs="Arial" w:eastAsia="Arial" w:hAnsi="Arial"/>
                <w:b/>
                <w:bCs/>
                <w:color w:val="1A1A2E"/>
                <w:sz w:val="20"/>
                <w:szCs w:val="20"/>
              </w:rPr>
              <w:t xml:space="preserve">Hex</w:t>
            </w:r>
          </w:p>
        </w:tc>
        <w:tc>
          <w:tcPr>
            <w:tcW w:type="dxa" w:w="3860"/>
            <w:tcBorders>
              <w:top w:val="single" w:color="D1D5DB" w:sz="1"/>
              <w:left w:val="single" w:color="D1D5DB" w:sz="1"/>
              <w:bottom w:val="single" w:color="D1D5DB" w:sz="1"/>
              <w:right w:val="single" w:color="D1D5DB" w:sz="1"/>
            </w:tcBorders>
            <w:shd w:fill="F0FAF7" w:val="clear"/>
            <w:tcMar>
              <w:top w:type="dxa" w:w="80"/>
              <w:left w:type="dxa" w:w="120"/>
              <w:bottom w:type="dxa" w:w="80"/>
              <w:right w:type="dxa" w:w="120"/>
            </w:tcMar>
          </w:tcPr>
          <w:p>
            <w:r>
              <w:rPr>
                <w:rFonts w:ascii="Arial" w:cs="Arial" w:eastAsia="Arial" w:hAnsi="Arial"/>
                <w:b/>
                <w:bCs/>
                <w:color w:val="1A1A2E"/>
                <w:sz w:val="20"/>
                <w:szCs w:val="20"/>
              </w:rPr>
              <w:t xml:space="preserve">Usage</w:t>
            </w:r>
          </w:p>
        </w:tc>
      </w:tr>
      <w:tr>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Primary Green</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#00D4AA</w:t>
            </w:r>
          </w:p>
        </w:tc>
        <w:tc>
          <w:tcPr>
            <w:tcW w:type="dxa" w:w="38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CTAs, active states, balance, success</w:t>
            </w:r>
          </w:p>
        </w:tc>
      </w:tr>
      <w:tr>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Primary Blue</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#0099FF</w:t>
            </w:r>
          </w:p>
        </w:tc>
        <w:tc>
          <w:tcPr>
            <w:tcW w:type="dxa" w:w="38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Gradients, secondary accents</w:t>
            </w:r>
          </w:p>
        </w:tc>
      </w:tr>
      <w:tr>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Background</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#0A0A0F</w:t>
            </w:r>
          </w:p>
        </w:tc>
        <w:tc>
          <w:tcPr>
            <w:tcW w:type="dxa" w:w="38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App background (dark mode)</w:t>
            </w:r>
          </w:p>
        </w:tc>
      </w:tr>
      <w:tr>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Surface</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rgba(255,255,255,0.03)</w:t>
            </w:r>
          </w:p>
        </w:tc>
        <w:tc>
          <w:tcPr>
            <w:tcW w:type="dxa" w:w="38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Cards, input fields</w:t>
            </w:r>
          </w:p>
        </w:tc>
      </w:tr>
      <w:tr>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Border</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rgba(255,255,255,0.06)</w:t>
            </w:r>
          </w:p>
        </w:tc>
        <w:tc>
          <w:tcPr>
            <w:tcW w:type="dxa" w:w="38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Dividers, card borders</w:t>
            </w:r>
          </w:p>
        </w:tc>
      </w:tr>
      <w:tr>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Text Primary</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#FFFFFF</w:t>
            </w:r>
          </w:p>
        </w:tc>
        <w:tc>
          <w:tcPr>
            <w:tcW w:type="dxa" w:w="38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Headings, numbers, primary content</w:t>
            </w:r>
          </w:p>
        </w:tc>
      </w:tr>
      <w:tr>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Text Secondary</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#6A7A8A</w:t>
            </w:r>
          </w:p>
        </w:tc>
        <w:tc>
          <w:tcPr>
            <w:tcW w:type="dxa" w:w="38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Labels, descriptions</w:t>
            </w:r>
          </w:p>
        </w:tc>
      </w:tr>
      <w:tr>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Text Muted</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#4A5A6A</w:t>
            </w:r>
          </w:p>
        </w:tc>
        <w:tc>
          <w:tcPr>
            <w:tcW w:type="dxa" w:w="38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Timestamps, hints</w:t>
            </w:r>
          </w:p>
        </w:tc>
      </w:tr>
      <w:tr>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Error/Decline</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#FF3B3B</w:t>
            </w:r>
          </w:p>
        </w:tc>
        <w:tc>
          <w:tcPr>
            <w:tcW w:type="dxa" w:w="38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End call, remove, errors</w:t>
            </w:r>
          </w:p>
        </w:tc>
      </w:tr>
      <w:tr>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Warning/Orange</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#FFA500</w:t>
            </w:r>
          </w:p>
        </w:tc>
        <w:tc>
          <w:tcPr>
            <w:tcW w:type="dxa" w:w="38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Promotions, upsells, get number CTA</w:t>
            </w:r>
          </w:p>
        </w:tc>
      </w:tr>
      <w:tr>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WhatsApp Green</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#25D366</w:t>
            </w:r>
          </w:p>
        </w:tc>
        <w:tc>
          <w:tcPr>
            <w:tcW w:type="dxa" w:w="38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WhatsApp share button</w:t>
            </w:r>
          </w:p>
        </w:tc>
      </w:tr>
    </w:tbl>
    <w:p>
      <w:pPr>
        <w:spacing w:after="160"/>
      </w:pPr>
    </w:p>
    <w:p>
      <w:pPr>
        <w:spacing w:after="100" w:before="200"/>
      </w:pPr>
      <w:r>
        <w:rPr>
          <w:rFonts w:ascii="Arial" w:cs="Arial" w:eastAsia="Arial" w:hAnsi="Arial"/>
          <w:b/>
          <w:bCs/>
          <w:color w:val="374151"/>
          <w:sz w:val="22"/>
          <w:szCs w:val="22"/>
        </w:rPr>
        <w:t xml:space="preserve">Typography:</w:t>
      </w:r>
    </w:p>
    <w:p>
      <w:pPr>
        <w:spacing w:after="120"/>
      </w:pPr>
      <w:r>
        <w:rPr>
          <w:rFonts w:ascii="Arial" w:cs="Arial" w:eastAsia="Arial" w:hAnsi="Arial"/>
          <w:color w:val="374151"/>
          <w:sz w:val="21"/>
          <w:szCs w:val="21"/>
        </w:rPr>
        <w:t xml:space="preserve">Font Family: DM Sans (Google Fonts) with system fallbacks (-apple-system, sans-serif)</w:t>
      </w:r>
    </w:p>
    <w:p>
      <w:pPr>
        <w:spacing w:after="120"/>
      </w:pPr>
      <w:r>
        <w:rPr>
          <w:rFonts w:ascii="Arial" w:cs="Arial" w:eastAsia="Arial" w:hAnsi="Arial"/>
          <w:color w:val="374151"/>
          <w:sz w:val="21"/>
          <w:szCs w:val="21"/>
        </w:rPr>
        <w:t xml:space="preserve">Heading 1: 22px, Bold, #FFFFFF</w:t>
      </w:r>
    </w:p>
    <w:p>
      <w:pPr>
        <w:spacing w:after="120"/>
      </w:pPr>
      <w:r>
        <w:rPr>
          <w:rFonts w:ascii="Arial" w:cs="Arial" w:eastAsia="Arial" w:hAnsi="Arial"/>
          <w:color w:val="374151"/>
          <w:sz w:val="21"/>
          <w:szCs w:val="21"/>
        </w:rPr>
        <w:t xml:space="preserve">Heading 2: 18px, Bold, #FFFFFF</w:t>
      </w:r>
    </w:p>
    <w:p>
      <w:pPr>
        <w:spacing w:after="120"/>
      </w:pPr>
      <w:r>
        <w:rPr>
          <w:rFonts w:ascii="Arial" w:cs="Arial" w:eastAsia="Arial" w:hAnsi="Arial"/>
          <w:color w:val="374151"/>
          <w:sz w:val="21"/>
          <w:szCs w:val="21"/>
        </w:rPr>
        <w:t xml:space="preserve">Body: 14-15px, Regular, #FFFFFF or #6A7A8A</w:t>
      </w:r>
    </w:p>
    <w:p>
      <w:pPr>
        <w:spacing w:after="120"/>
      </w:pPr>
      <w:r>
        <w:rPr>
          <w:rFonts w:ascii="Arial" w:cs="Arial" w:eastAsia="Arial" w:hAnsi="Arial"/>
          <w:color w:val="374151"/>
          <w:sz w:val="21"/>
          <w:szCs w:val="21"/>
        </w:rPr>
        <w:t xml:space="preserve">Caption: 11-12px, Medium, #5A6A7A</w:t>
      </w:r>
    </w:p>
    <w:p>
      <w:pPr>
        <w:spacing w:after="120"/>
      </w:pPr>
      <w:r>
        <w:rPr>
          <w:rFonts w:ascii="Arial" w:cs="Arial" w:eastAsia="Arial" w:hAnsi="Arial"/>
          <w:color w:val="374151"/>
          <w:sz w:val="21"/>
          <w:szCs w:val="21"/>
        </w:rPr>
        <w:t xml:space="preserve">Number Display: Tabular numerals (font-variant-numeric: tabular-nums)</w:t>
      </w:r>
    </w:p>
    <w:p>
      <w:pPr>
        <w:spacing w:after="120"/>
      </w:pPr>
      <w:r>
        <w:rPr>
          <w:rFonts w:ascii="Arial" w:cs="Arial" w:eastAsia="Arial" w:hAnsi="Arial"/>
          <w:color w:val="374151"/>
          <w:sz w:val="21"/>
          <w:szCs w:val="21"/>
        </w:rPr>
        <w:t xml:space="preserve">Monospace (referral codes): Courier New or system monospace</w:t>
      </w:r>
    </w:p>
    <w:p>
      <w:pPr>
        <w:spacing w:after="160"/>
      </w:pPr>
    </w:p>
    <w:p>
      <w:pPr>
        <w:spacing w:after="100" w:before="200"/>
      </w:pPr>
      <w:r>
        <w:rPr>
          <w:rFonts w:ascii="Arial" w:cs="Arial" w:eastAsia="Arial" w:hAnsi="Arial"/>
          <w:b/>
          <w:bCs/>
          <w:color w:val="374151"/>
          <w:sz w:val="22"/>
          <w:szCs w:val="22"/>
        </w:rPr>
        <w:t xml:space="preserve">Spacing &amp; Layout:</w:t>
      </w:r>
    </w:p>
    <w:p>
      <w:pPr>
        <w:spacing w:after="120"/>
      </w:pPr>
      <w:r>
        <w:rPr>
          <w:rFonts w:ascii="Arial" w:cs="Arial" w:eastAsia="Arial" w:hAnsi="Arial"/>
          <w:color w:val="374151"/>
          <w:sz w:val="21"/>
          <w:szCs w:val="21"/>
        </w:rPr>
        <w:t xml:space="preserve">Screen padding: 20px horizontal</w:t>
      </w:r>
    </w:p>
    <w:p>
      <w:pPr>
        <w:spacing w:after="120"/>
      </w:pPr>
      <w:r>
        <w:rPr>
          <w:rFonts w:ascii="Arial" w:cs="Arial" w:eastAsia="Arial" w:hAnsi="Arial"/>
          <w:color w:val="374151"/>
          <w:sz w:val="21"/>
          <w:szCs w:val="21"/>
        </w:rPr>
        <w:t xml:space="preserve">Card border-radius: 14-18px</w:t>
      </w:r>
    </w:p>
    <w:p>
      <w:pPr>
        <w:spacing w:after="120"/>
      </w:pPr>
      <w:r>
        <w:rPr>
          <w:rFonts w:ascii="Arial" w:cs="Arial" w:eastAsia="Arial" w:hAnsi="Arial"/>
          <w:color w:val="374151"/>
          <w:sz w:val="21"/>
          <w:szCs w:val="21"/>
        </w:rPr>
        <w:t xml:space="preserve">Button border-radius: 10-14px (rectangular), 50% (circular/call buttons)</w:t>
      </w:r>
    </w:p>
    <w:p>
      <w:pPr>
        <w:spacing w:after="120"/>
      </w:pPr>
      <w:r>
        <w:rPr>
          <w:rFonts w:ascii="Arial" w:cs="Arial" w:eastAsia="Arial" w:hAnsi="Arial"/>
          <w:color w:val="374151"/>
          <w:sz w:val="21"/>
          <w:szCs w:val="21"/>
        </w:rPr>
        <w:t xml:space="preserve">Card gap: 10-12px vertical</w:t>
      </w:r>
    </w:p>
    <w:p>
      <w:pPr>
        <w:spacing w:after="120"/>
      </w:pPr>
      <w:r>
        <w:rPr>
          <w:rFonts w:ascii="Arial" w:cs="Arial" w:eastAsia="Arial" w:hAnsi="Arial"/>
          <w:color w:val="374151"/>
          <w:sz w:val="21"/>
          <w:szCs w:val="21"/>
        </w:rPr>
        <w:t xml:space="preserve">Tab bar: Fixed bottom, 60px height + safe area inset</w:t>
      </w:r>
    </w:p>
    <w:p>
      <w:pPr>
        <w:spacing w:after="120"/>
      </w:pPr>
      <w:r>
        <w:rPr>
          <w:rFonts w:ascii="Arial" w:cs="Arial" w:eastAsia="Arial" w:hAnsi="Arial"/>
          <w:color w:val="374151"/>
          <w:sz w:val="21"/>
          <w:szCs w:val="21"/>
        </w:rPr>
        <w:t xml:space="preserve">Status bar: Accounted for with 50px top padding</w:t>
      </w:r>
    </w:p>
    <w:p>
      <w:pPr>
        <w:spacing w:after="160"/>
      </w:pPr>
    </w:p>
    <w:p>
      <w:pPr>
        <w:pStyle w:val="Heading2"/>
        <w:spacing w:after="150" w:before="300"/>
      </w:pPr>
      <w:r>
        <w:rPr>
          <w:rFonts w:ascii="Arial" w:cs="Arial" w:eastAsia="Arial" w:hAnsi="Arial"/>
          <w:b/>
          <w:bCs/>
          <w:color w:val="1A1A2E"/>
          <w:sz w:val="26"/>
          <w:szCs w:val="26"/>
        </w:rPr>
        <w:t xml:space="preserve">5.2 Screen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5660"/>
      </w:tblGrid>
      <w:tr>
        <w:tc>
          <w:tcPr>
            <w:tcW w:type="dxa" w:w="2200"/>
            <w:tcBorders>
              <w:top w:val="single" w:color="D1D5DB" w:sz="1"/>
              <w:left w:val="single" w:color="D1D5DB" w:sz="1"/>
              <w:bottom w:val="single" w:color="D1D5DB" w:sz="1"/>
              <w:right w:val="single" w:color="D1D5DB" w:sz="1"/>
            </w:tcBorders>
            <w:shd w:fill="F0FAF7" w:val="clear"/>
            <w:tcMar>
              <w:top w:type="dxa" w:w="80"/>
              <w:left w:type="dxa" w:w="120"/>
              <w:bottom w:type="dxa" w:w="80"/>
              <w:right w:type="dxa" w:w="120"/>
            </w:tcMar>
          </w:tcPr>
          <w:p>
            <w:r>
              <w:rPr>
                <w:rFonts w:ascii="Arial" w:cs="Arial" w:eastAsia="Arial" w:hAnsi="Arial"/>
                <w:b/>
                <w:bCs/>
                <w:color w:val="1A1A2E"/>
                <w:sz w:val="20"/>
                <w:szCs w:val="20"/>
              </w:rPr>
              <w:t xml:space="preserve">Screen</w:t>
            </w:r>
          </w:p>
        </w:tc>
        <w:tc>
          <w:tcPr>
            <w:tcW w:type="dxa" w:w="1500"/>
            <w:tcBorders>
              <w:top w:val="single" w:color="D1D5DB" w:sz="1"/>
              <w:left w:val="single" w:color="D1D5DB" w:sz="1"/>
              <w:bottom w:val="single" w:color="D1D5DB" w:sz="1"/>
              <w:right w:val="single" w:color="D1D5DB" w:sz="1"/>
            </w:tcBorders>
            <w:shd w:fill="F0FAF7" w:val="clear"/>
            <w:tcMar>
              <w:top w:type="dxa" w:w="80"/>
              <w:left w:type="dxa" w:w="120"/>
              <w:bottom w:type="dxa" w:w="80"/>
              <w:right w:type="dxa" w:w="120"/>
            </w:tcMar>
          </w:tcPr>
          <w:p>
            <w:r>
              <w:rPr>
                <w:rFonts w:ascii="Arial" w:cs="Arial" w:eastAsia="Arial" w:hAnsi="Arial"/>
                <w:b/>
                <w:bCs/>
                <w:color w:val="1A1A2E"/>
                <w:sz w:val="20"/>
                <w:szCs w:val="20"/>
              </w:rPr>
              <w:t xml:space="preserve">Tab</w:t>
            </w:r>
          </w:p>
        </w:tc>
        <w:tc>
          <w:tcPr>
            <w:tcW w:type="dxa" w:w="5660"/>
            <w:tcBorders>
              <w:top w:val="single" w:color="D1D5DB" w:sz="1"/>
              <w:left w:val="single" w:color="D1D5DB" w:sz="1"/>
              <w:bottom w:val="single" w:color="D1D5DB" w:sz="1"/>
              <w:right w:val="single" w:color="D1D5DB" w:sz="1"/>
            </w:tcBorders>
            <w:shd w:fill="F0FAF7" w:val="clear"/>
            <w:tcMar>
              <w:top w:type="dxa" w:w="80"/>
              <w:left w:type="dxa" w:w="120"/>
              <w:bottom w:type="dxa" w:w="80"/>
              <w:right w:type="dxa" w:w="120"/>
            </w:tcMar>
          </w:tcPr>
          <w:p>
            <w:r>
              <w:rPr>
                <w:rFonts w:ascii="Arial" w:cs="Arial" w:eastAsia="Arial" w:hAnsi="Arial"/>
                <w:b/>
                <w:bCs/>
                <w:color w:val="1A1A2E"/>
                <w:sz w:val="20"/>
                <w:szCs w:val="20"/>
              </w:rPr>
              <w:t xml:space="preserve">Description</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Splash</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N/A</w:t>
            </w:r>
          </w:p>
        </w:tc>
        <w:tc>
          <w:tcPr>
            <w:tcW w:type="dxa" w:w="56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Logo animation, 2s auto-dismiss</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Login</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N/A</w:t>
            </w:r>
          </w:p>
        </w:tc>
        <w:tc>
          <w:tcPr>
            <w:tcW w:type="dxa" w:w="56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Email/password with login/signup toggle</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Signup</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N/A</w:t>
            </w:r>
          </w:p>
        </w:tc>
        <w:tc>
          <w:tcPr>
            <w:tcW w:type="dxa" w:w="56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Name + email + password, $2.50 welcome credit</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Dialer</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Dialer</w:t>
            </w:r>
          </w:p>
        </w:tc>
        <w:tc>
          <w:tcPr>
            <w:tcW w:type="dxa" w:w="56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My Numbers card, balance card, country picker, keypad, call button</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Active Call</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Overlay</w:t>
            </w:r>
          </w:p>
        </w:tc>
        <w:tc>
          <w:tcPr>
            <w:tcW w:type="dxa" w:w="56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Timer, mute/speaker controls, end call (outbound)</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Incoming Call</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Overlay</w:t>
            </w:r>
          </w:p>
        </w:tc>
        <w:tc>
          <w:tcPr>
            <w:tcW w:type="dxa" w:w="56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Caller info, pulsing animation, answer/decline</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Call History</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History</w:t>
            </w:r>
          </w:p>
        </w:tc>
        <w:tc>
          <w:tcPr>
            <w:tcW w:type="dxa" w:w="56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Chronological list with inbound/outbound icons and costs</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Numbers Home</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Numbers</w:t>
            </w:r>
          </w:p>
        </w:tc>
        <w:tc>
          <w:tcPr>
            <w:tcW w:type="dxa" w:w="56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My numbers list, active caller ID, add number CTA</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Number Store</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Modal</w:t>
            </w:r>
          </w:p>
        </w:tc>
        <w:tc>
          <w:tcPr>
            <w:tcW w:type="dxa" w:w="56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Browse available numbers by country with pricing</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Number Manager</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Modal</w:t>
            </w:r>
          </w:p>
        </w:tc>
        <w:tc>
          <w:tcPr>
            <w:tcW w:type="dxa" w:w="56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Set caller ID, test incoming, remove numbers</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Recharge</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Recharge</w:t>
            </w:r>
          </w:p>
        </w:tc>
        <w:tc>
          <w:tcPr>
            <w:tcW w:type="dxa" w:w="56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Balance display, tier selection, Stripe checkout</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Payment Modal</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Modal</w:t>
            </w:r>
          </w:p>
        </w:tc>
        <w:tc>
          <w:tcPr>
            <w:tcW w:type="dxa" w:w="56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Stripe card input, processing animation, success</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Invite</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Invite</w:t>
            </w:r>
          </w:p>
        </w:tc>
        <w:tc>
          <w:tcPr>
            <w:tcW w:type="dxa" w:w="56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Referral code, share buttons, how it works, stats</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Country Picker</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Modal</w:t>
            </w:r>
          </w:p>
        </w:tc>
        <w:tc>
          <w:tcPr>
            <w:tcW w:type="dxa" w:w="56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Searchable list of countries with dial codes and rates</w:t>
            </w:r>
          </w:p>
        </w:tc>
      </w:tr>
    </w:tbl>
    <w:p>
      <w:pPr>
        <w:spacing w:after="160"/>
      </w:pPr>
    </w:p>
    <w:p>
      <w:pPr>
        <w:pStyle w:val="Heading2"/>
        <w:spacing w:after="150" w:before="300"/>
      </w:pPr>
      <w:r>
        <w:rPr>
          <w:rFonts w:ascii="Arial" w:cs="Arial" w:eastAsia="Arial" w:hAnsi="Arial"/>
          <w:b/>
          <w:bCs/>
          <w:color w:val="1A1A2E"/>
          <w:sz w:val="26"/>
          <w:szCs w:val="26"/>
        </w:rPr>
        <w:t xml:space="preserve">5.3 Navigation</w:t>
      </w:r>
    </w:p>
    <w:p>
      <w:pPr>
        <w:spacing w:after="120"/>
      </w:pPr>
      <w:r>
        <w:rPr>
          <w:rFonts w:ascii="Arial" w:cs="Arial" w:eastAsia="Arial" w:hAnsi="Arial"/>
          <w:color w:val="374151"/>
          <w:sz w:val="21"/>
          <w:szCs w:val="21"/>
        </w:rPr>
        <w:t xml:space="preserve">Bottom tab bar with 5 tabs: Dialer, History, Numbers, Recharge, Invite</w:t>
      </w:r>
    </w:p>
    <w:p>
      <w:pPr>
        <w:spacing w:after="120"/>
      </w:pPr>
      <w:r>
        <w:rPr>
          <w:rFonts w:ascii="Arial" w:cs="Arial" w:eastAsia="Arial" w:hAnsi="Arial"/>
          <w:color w:val="374151"/>
          <w:sz w:val="21"/>
          <w:szCs w:val="21"/>
        </w:rPr>
        <w:t xml:space="preserve">Tab icons are emoji-based for cross-platform consistency: 📱 🕐 📞 💳 🎁</w:t>
      </w:r>
    </w:p>
    <w:p>
      <w:pPr>
        <w:spacing w:after="120"/>
      </w:pPr>
      <w:r>
        <w:rPr>
          <w:rFonts w:ascii="Arial" w:cs="Arial" w:eastAsia="Arial" w:hAnsi="Arial"/>
          <w:color w:val="374151"/>
          <w:sz w:val="21"/>
          <w:szCs w:val="21"/>
        </w:rPr>
        <w:t xml:space="preserve">Active tab: #00D4AA color. Inactive: #4A5A6A</w:t>
      </w:r>
    </w:p>
    <w:p>
      <w:pPr>
        <w:spacing w:after="120"/>
      </w:pPr>
      <w:r>
        <w:rPr>
          <w:rFonts w:ascii="Arial" w:cs="Arial" w:eastAsia="Arial" w:hAnsi="Arial"/>
          <w:color w:val="374151"/>
          <w:sz w:val="21"/>
          <w:szCs w:val="21"/>
        </w:rPr>
        <w:t xml:space="preserve">Modals (country picker, number store, payment) overlay full screen with dark background</w:t>
      </w:r>
    </w:p>
    <w:p>
      <w:pPr>
        <w:spacing w:after="120"/>
      </w:pPr>
      <w:r>
        <w:rPr>
          <w:rFonts w:ascii="Arial" w:cs="Arial" w:eastAsia="Arial" w:hAnsi="Arial"/>
          <w:color w:val="374151"/>
          <w:sz w:val="21"/>
          <w:szCs w:val="21"/>
        </w:rPr>
        <w:t xml:space="preserve">Active call and incoming call screens replace the entire UI</w:t>
      </w:r>
    </w:p>
    <w:p>
      <w:r>
        <w:br w:type="page"/>
      </w:r>
    </w:p>
    <w:p>
      <w:pPr>
        <w:pStyle w:val="Heading1"/>
        <w:spacing w:after="200" w:before="400"/>
      </w:pPr>
      <w:r>
        <w:rPr>
          <w:rFonts w:ascii="Arial" w:cs="Arial" w:eastAsia="Arial" w:hAnsi="Arial"/>
          <w:b/>
          <w:bCs/>
          <w:color w:val="0A7B61"/>
          <w:sz w:val="32"/>
          <w:szCs w:val="32"/>
        </w:rPr>
        <w:t xml:space="preserve">6. Pricing &amp; Unit Economics</w:t>
      </w:r>
    </w:p>
    <w:p>
      <w:pPr>
        <w:pStyle w:val="Heading2"/>
        <w:spacing w:after="150" w:before="300"/>
      </w:pPr>
      <w:r>
        <w:rPr>
          <w:rFonts w:ascii="Arial" w:cs="Arial" w:eastAsia="Arial" w:hAnsi="Arial"/>
          <w:b/>
          <w:bCs/>
          <w:color w:val="1A1A2E"/>
          <w:sz w:val="26"/>
          <w:szCs w:val="26"/>
        </w:rPr>
        <w:t xml:space="preserve">6.1 Call Rate Strategy</w:t>
      </w:r>
    </w:p>
    <w:p>
      <w:pPr>
        <w:spacing w:after="120"/>
      </w:pPr>
      <w:r>
        <w:rPr>
          <w:rFonts w:ascii="Arial" w:cs="Arial" w:eastAsia="Arial" w:hAnsi="Arial"/>
          <w:color w:val="374151"/>
          <w:sz w:val="21"/>
          <w:szCs w:val="21"/>
        </w:rPr>
        <w:t xml:space="preserve">Rates are set at 2-4x Telnyx wholesale cost, positioned to undercut existing calling apps by 40-50%. The Nigeria corridor (primary market) is priced at $0.06/min vs competitors at $0.10-0.15/min.</w:t>
      </w:r>
    </w:p>
    <w:p>
      <w:pPr>
        <w:spacing w:after="16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500"/>
        <w:gridCol w:w="1000"/>
        <w:gridCol w:w="2160"/>
      </w:tblGrid>
      <w:tr>
        <w:tc>
          <w:tcPr>
            <w:tcW w:type="dxa" w:w="2200"/>
            <w:tcBorders>
              <w:top w:val="single" w:color="D1D5DB" w:sz="1"/>
              <w:left w:val="single" w:color="D1D5DB" w:sz="1"/>
              <w:bottom w:val="single" w:color="D1D5DB" w:sz="1"/>
              <w:right w:val="single" w:color="D1D5DB" w:sz="1"/>
            </w:tcBorders>
            <w:shd w:fill="F0FAF7" w:val="clear"/>
            <w:tcMar>
              <w:top w:type="dxa" w:w="80"/>
              <w:left w:type="dxa" w:w="120"/>
              <w:bottom w:type="dxa" w:w="80"/>
              <w:right w:type="dxa" w:w="120"/>
            </w:tcMar>
          </w:tcPr>
          <w:p>
            <w:r>
              <w:rPr>
                <w:rFonts w:ascii="Arial" w:cs="Arial" w:eastAsia="Arial" w:hAnsi="Arial"/>
                <w:b/>
                <w:bCs/>
                <w:color w:val="1A1A2E"/>
                <w:sz w:val="20"/>
                <w:szCs w:val="20"/>
              </w:rPr>
              <w:t xml:space="preserve">Route</w:t>
            </w:r>
          </w:p>
        </w:tc>
        <w:tc>
          <w:tcPr>
            <w:tcW w:type="dxa" w:w="1500"/>
            <w:tcBorders>
              <w:top w:val="single" w:color="D1D5DB" w:sz="1"/>
              <w:left w:val="single" w:color="D1D5DB" w:sz="1"/>
              <w:bottom w:val="single" w:color="D1D5DB" w:sz="1"/>
              <w:right w:val="single" w:color="D1D5DB" w:sz="1"/>
            </w:tcBorders>
            <w:shd w:fill="F0FAF7" w:val="clear"/>
            <w:tcMar>
              <w:top w:type="dxa" w:w="80"/>
              <w:left w:type="dxa" w:w="120"/>
              <w:bottom w:type="dxa" w:w="80"/>
              <w:right w:type="dxa" w:w="120"/>
            </w:tcMar>
          </w:tcPr>
          <w:p>
            <w:r>
              <w:rPr>
                <w:rFonts w:ascii="Arial" w:cs="Arial" w:eastAsia="Arial" w:hAnsi="Arial"/>
                <w:b/>
                <w:bCs/>
                <w:color w:val="1A1A2E"/>
                <w:sz w:val="20"/>
                <w:szCs w:val="20"/>
              </w:rPr>
              <w:t xml:space="preserve">Telnyx Cost</w:t>
            </w:r>
          </w:p>
        </w:tc>
        <w:tc>
          <w:tcPr>
            <w:tcW w:type="dxa" w:w="1500"/>
            <w:tcBorders>
              <w:top w:val="single" w:color="D1D5DB" w:sz="1"/>
              <w:left w:val="single" w:color="D1D5DB" w:sz="1"/>
              <w:bottom w:val="single" w:color="D1D5DB" w:sz="1"/>
              <w:right w:val="single" w:color="D1D5DB" w:sz="1"/>
            </w:tcBorders>
            <w:shd w:fill="F0FAF7" w:val="clear"/>
            <w:tcMar>
              <w:top w:type="dxa" w:w="80"/>
              <w:left w:type="dxa" w:w="120"/>
              <w:bottom w:type="dxa" w:w="80"/>
              <w:right w:type="dxa" w:w="120"/>
            </w:tcMar>
          </w:tcPr>
          <w:p>
            <w:r>
              <w:rPr>
                <w:rFonts w:ascii="Arial" w:cs="Arial" w:eastAsia="Arial" w:hAnsi="Arial"/>
                <w:b/>
                <w:bCs/>
                <w:color w:val="1A1A2E"/>
                <w:sz w:val="20"/>
                <w:szCs w:val="20"/>
              </w:rPr>
              <w:t xml:space="preserve">Sell Price</w:t>
            </w:r>
          </w:p>
        </w:tc>
        <w:tc>
          <w:tcPr>
            <w:tcW w:type="dxa" w:w="1000"/>
            <w:tcBorders>
              <w:top w:val="single" w:color="D1D5DB" w:sz="1"/>
              <w:left w:val="single" w:color="D1D5DB" w:sz="1"/>
              <w:bottom w:val="single" w:color="D1D5DB" w:sz="1"/>
              <w:right w:val="single" w:color="D1D5DB" w:sz="1"/>
            </w:tcBorders>
            <w:shd w:fill="F0FAF7" w:val="clear"/>
            <w:tcMar>
              <w:top w:type="dxa" w:w="80"/>
              <w:left w:type="dxa" w:w="120"/>
              <w:bottom w:type="dxa" w:w="80"/>
              <w:right w:type="dxa" w:w="120"/>
            </w:tcMar>
          </w:tcPr>
          <w:p>
            <w:r>
              <w:rPr>
                <w:rFonts w:ascii="Arial" w:cs="Arial" w:eastAsia="Arial" w:hAnsi="Arial"/>
                <w:b/>
                <w:bCs/>
                <w:color w:val="1A1A2E"/>
                <w:sz w:val="20"/>
                <w:szCs w:val="20"/>
              </w:rPr>
              <w:t xml:space="preserve">Margin</w:t>
            </w:r>
          </w:p>
        </w:tc>
        <w:tc>
          <w:tcPr>
            <w:tcW w:type="dxa" w:w="2160"/>
            <w:tcBorders>
              <w:top w:val="single" w:color="D1D5DB" w:sz="1"/>
              <w:left w:val="single" w:color="D1D5DB" w:sz="1"/>
              <w:bottom w:val="single" w:color="D1D5DB" w:sz="1"/>
              <w:right w:val="single" w:color="D1D5DB" w:sz="1"/>
            </w:tcBorders>
            <w:shd w:fill="F0FAF7" w:val="clear"/>
            <w:tcMar>
              <w:top w:type="dxa" w:w="80"/>
              <w:left w:type="dxa" w:w="120"/>
              <w:bottom w:type="dxa" w:w="80"/>
              <w:right w:type="dxa" w:w="120"/>
            </w:tcMar>
          </w:tcPr>
          <w:p>
            <w:r>
              <w:rPr>
                <w:rFonts w:ascii="Arial" w:cs="Arial" w:eastAsia="Arial" w:hAnsi="Arial"/>
                <w:b/>
                <w:bCs/>
                <w:color w:val="1A1A2E"/>
                <w:sz w:val="20"/>
                <w:szCs w:val="20"/>
              </w:rPr>
              <w:t xml:space="preserve">Competitor Price</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Nigeria Mobile</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$0.025</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$0.060</w:t>
            </w:r>
          </w:p>
        </w:tc>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58%</w:t>
            </w:r>
          </w:p>
        </w:tc>
        <w:tc>
          <w:tcPr>
            <w:tcW w:type="dxa" w:w="2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$0.10-0.15</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India Mobile</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$0.004</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$0.015</w:t>
            </w:r>
          </w:p>
        </w:tc>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73%</w:t>
            </w:r>
          </w:p>
        </w:tc>
        <w:tc>
          <w:tcPr>
            <w:tcW w:type="dxa" w:w="2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$0.02-0.04</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Pakistan Mobile</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$0.015</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$0.040</w:t>
            </w:r>
          </w:p>
        </w:tc>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63%</w:t>
            </w:r>
          </w:p>
        </w:tc>
        <w:tc>
          <w:tcPr>
            <w:tcW w:type="dxa" w:w="2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$0.06-0.10</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Philippines Mobile</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$0.012</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$0.035</w:t>
            </w:r>
          </w:p>
        </w:tc>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66%</w:t>
            </w:r>
          </w:p>
        </w:tc>
        <w:tc>
          <w:tcPr>
            <w:tcW w:type="dxa" w:w="2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$0.05-0.08</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Bangladesh Mobile</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$0.014</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$0.040</w:t>
            </w:r>
          </w:p>
        </w:tc>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65%</w:t>
            </w:r>
          </w:p>
        </w:tc>
        <w:tc>
          <w:tcPr>
            <w:tcW w:type="dxa" w:w="2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$0.06-0.10</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Egypt Mobile</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$0.018</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$0.045</w:t>
            </w:r>
          </w:p>
        </w:tc>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60%</w:t>
            </w:r>
          </w:p>
        </w:tc>
        <w:tc>
          <w:tcPr>
            <w:tcW w:type="dxa" w:w="2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$0.07-0.12</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US Landline/Mobile</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$0.006</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$0.020</w:t>
            </w:r>
          </w:p>
        </w:tc>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70%</w:t>
            </w:r>
          </w:p>
        </w:tc>
        <w:tc>
          <w:tcPr>
            <w:tcW w:type="dxa" w:w="2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$0.02-0.03</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UK Landline/Mobile</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$0.008</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$0.025</w:t>
            </w:r>
          </w:p>
        </w:tc>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68%</w:t>
            </w:r>
          </w:p>
        </w:tc>
        <w:tc>
          <w:tcPr>
            <w:tcW w:type="dxa" w:w="2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$0.03-0.05</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Saudi Mobile</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$0.015</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$0.040</w:t>
            </w:r>
          </w:p>
        </w:tc>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63%</w:t>
            </w:r>
          </w:p>
        </w:tc>
        <w:tc>
          <w:tcPr>
            <w:tcW w:type="dxa" w:w="2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$0.05-0.08</w:t>
            </w:r>
          </w:p>
        </w:tc>
      </w:tr>
    </w:tbl>
    <w:p>
      <w:pPr>
        <w:spacing w:after="160"/>
      </w:pPr>
    </w:p>
    <w:p>
      <w:pPr>
        <w:pStyle w:val="Heading2"/>
        <w:spacing w:after="150" w:before="300"/>
      </w:pPr>
      <w:r>
        <w:rPr>
          <w:rFonts w:ascii="Arial" w:cs="Arial" w:eastAsia="Arial" w:hAnsi="Arial"/>
          <w:b/>
          <w:bCs/>
          <w:color w:val="1A1A2E"/>
          <w:sz w:val="26"/>
          <w:szCs w:val="26"/>
        </w:rPr>
        <w:t xml:space="preserve">6.2 Revenue Model Per 1,000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000"/>
        <w:gridCol w:w="1200"/>
        <w:gridCol w:w="2160"/>
      </w:tblGrid>
      <w:tr>
        <w:tc>
          <w:tcPr>
            <w:tcW w:type="dxa" w:w="4000"/>
            <w:tcBorders>
              <w:top w:val="single" w:color="D1D5DB" w:sz="1"/>
              <w:left w:val="single" w:color="D1D5DB" w:sz="1"/>
              <w:bottom w:val="single" w:color="D1D5DB" w:sz="1"/>
              <w:right w:val="single" w:color="D1D5DB" w:sz="1"/>
            </w:tcBorders>
            <w:shd w:fill="F0FAF7" w:val="clear"/>
            <w:tcMar>
              <w:top w:type="dxa" w:w="80"/>
              <w:left w:type="dxa" w:w="120"/>
              <w:bottom w:type="dxa" w:w="80"/>
              <w:right w:type="dxa" w:w="120"/>
            </w:tcMar>
          </w:tcPr>
          <w:p>
            <w:r>
              <w:rPr>
                <w:rFonts w:ascii="Arial" w:cs="Arial" w:eastAsia="Arial" w:hAnsi="Arial"/>
                <w:b/>
                <w:bCs/>
                <w:color w:val="1A1A2E"/>
                <w:sz w:val="20"/>
                <w:szCs w:val="20"/>
              </w:rPr>
              <w:t xml:space="preserve">Revenue Stream</w:t>
            </w:r>
          </w:p>
        </w:tc>
        <w:tc>
          <w:tcPr>
            <w:tcW w:type="dxa" w:w="2000"/>
            <w:tcBorders>
              <w:top w:val="single" w:color="D1D5DB" w:sz="1"/>
              <w:left w:val="single" w:color="D1D5DB" w:sz="1"/>
              <w:bottom w:val="single" w:color="D1D5DB" w:sz="1"/>
              <w:right w:val="single" w:color="D1D5DB" w:sz="1"/>
            </w:tcBorders>
            <w:shd w:fill="F0FAF7" w:val="clear"/>
            <w:tcMar>
              <w:top w:type="dxa" w:w="80"/>
              <w:left w:type="dxa" w:w="120"/>
              <w:bottom w:type="dxa" w:w="80"/>
              <w:right w:type="dxa" w:w="120"/>
            </w:tcMar>
          </w:tcPr>
          <w:p>
            <w:r>
              <w:rPr>
                <w:rFonts w:ascii="Arial" w:cs="Arial" w:eastAsia="Arial" w:hAnsi="Arial"/>
                <w:b/>
                <w:bCs/>
                <w:color w:val="1A1A2E"/>
                <w:sz w:val="20"/>
                <w:szCs w:val="20"/>
              </w:rPr>
              <w:t xml:space="preserve">Monthly Revenue</w:t>
            </w:r>
          </w:p>
        </w:tc>
        <w:tc>
          <w:tcPr>
            <w:tcW w:type="dxa" w:w="1200"/>
            <w:tcBorders>
              <w:top w:val="single" w:color="D1D5DB" w:sz="1"/>
              <w:left w:val="single" w:color="D1D5DB" w:sz="1"/>
              <w:bottom w:val="single" w:color="D1D5DB" w:sz="1"/>
              <w:right w:val="single" w:color="D1D5DB" w:sz="1"/>
            </w:tcBorders>
            <w:shd w:fill="F0FAF7" w:val="clear"/>
            <w:tcMar>
              <w:top w:type="dxa" w:w="80"/>
              <w:left w:type="dxa" w:w="120"/>
              <w:bottom w:type="dxa" w:w="80"/>
              <w:right w:type="dxa" w:w="120"/>
            </w:tcMar>
          </w:tcPr>
          <w:p>
            <w:r>
              <w:rPr>
                <w:rFonts w:ascii="Arial" w:cs="Arial" w:eastAsia="Arial" w:hAnsi="Arial"/>
                <w:b/>
                <w:bCs/>
                <w:color w:val="1A1A2E"/>
                <w:sz w:val="20"/>
                <w:szCs w:val="20"/>
              </w:rPr>
              <w:t xml:space="preserve">Margin</w:t>
            </w:r>
          </w:p>
        </w:tc>
        <w:tc>
          <w:tcPr>
            <w:tcW w:type="dxa" w:w="2160"/>
            <w:tcBorders>
              <w:top w:val="single" w:color="D1D5DB" w:sz="1"/>
              <w:left w:val="single" w:color="D1D5DB" w:sz="1"/>
              <w:bottom w:val="single" w:color="D1D5DB" w:sz="1"/>
              <w:right w:val="single" w:color="D1D5DB" w:sz="1"/>
            </w:tcBorders>
            <w:shd w:fill="F0FAF7" w:val="clear"/>
            <w:tcMar>
              <w:top w:type="dxa" w:w="80"/>
              <w:left w:type="dxa" w:w="120"/>
              <w:bottom w:type="dxa" w:w="80"/>
              <w:right w:type="dxa" w:w="120"/>
            </w:tcMar>
          </w:tcPr>
          <w:p>
            <w:r>
              <w:rPr>
                <w:rFonts w:ascii="Arial" w:cs="Arial" w:eastAsia="Arial" w:hAnsi="Arial"/>
                <w:b/>
                <w:bCs/>
                <w:color w:val="1A1A2E"/>
                <w:sz w:val="20"/>
                <w:szCs w:val="20"/>
              </w:rPr>
              <w:t xml:space="preserve">Monthly Profit</w:t>
            </w:r>
          </w:p>
        </w:tc>
      </w:tr>
      <w:tr>
        <w:tc>
          <w:tcPr>
            <w:tcW w:type="dxa" w:w="4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Call Minutes (avg 150min @ $0.05 blended)</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$7,500</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~60%</w:t>
            </w:r>
          </w:p>
        </w:tc>
        <w:tc>
          <w:tcPr>
            <w:tcW w:type="dxa" w:w="2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$4,500</w:t>
            </w:r>
          </w:p>
        </w:tc>
      </w:tr>
      <w:tr>
        <w:tc>
          <w:tcPr>
            <w:tcW w:type="dxa" w:w="4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Number Subscriptions (1.5 numbers @ $2.50 avg)</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$3,750</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~50%</w:t>
            </w:r>
          </w:p>
        </w:tc>
        <w:tc>
          <w:tcPr>
            <w:tcW w:type="dxa" w:w="2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$1,875</w:t>
            </w:r>
          </w:p>
        </w:tc>
      </w:tr>
      <w:tr>
        <w:tc>
          <w:tcPr>
            <w:tcW w:type="dxa" w:w="4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Recharge Bonuses (absorbed cost on higher tiers)</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-$500</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Cost</w:t>
            </w:r>
          </w:p>
        </w:tc>
        <w:tc>
          <w:tcPr>
            <w:tcW w:type="dxa" w:w="2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-$500</w:t>
            </w:r>
          </w:p>
        </w:tc>
      </w:tr>
      <w:tr>
        <w:tc>
          <w:tcPr>
            <w:tcW w:type="dxa" w:w="4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Referral Credits (20% conversion)</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-$400</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Cost</w:t>
            </w:r>
          </w:p>
        </w:tc>
        <w:tc>
          <w:tcPr>
            <w:tcW w:type="dxa" w:w="2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-$400</w:t>
            </w:r>
          </w:p>
        </w:tc>
      </w:tr>
      <w:tr>
        <w:tc>
          <w:tcPr>
            <w:tcW w:type="dxa" w:w="4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TOTAL</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$10,350</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
            </w:r>
          </w:p>
        </w:tc>
        <w:tc>
          <w:tcPr>
            <w:tcW w:type="dxa" w:w="2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$5,475</w:t>
            </w:r>
          </w:p>
        </w:tc>
      </w:tr>
    </w:tbl>
    <w:p>
      <w:pPr>
        <w:spacing w:after="160"/>
      </w:pPr>
    </w:p>
    <w:p>
      <w:pPr>
        <w:pStyle w:val="Heading2"/>
        <w:spacing w:after="150" w:before="300"/>
      </w:pPr>
      <w:r>
        <w:rPr>
          <w:rFonts w:ascii="Arial" w:cs="Arial" w:eastAsia="Arial" w:hAnsi="Arial"/>
          <w:b/>
          <w:bCs/>
          <w:color w:val="1A1A2E"/>
          <w:sz w:val="26"/>
          <w:szCs w:val="26"/>
        </w:rPr>
        <w:t xml:space="preserve">6.3 Infrastructure Costs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860"/>
      </w:tblGrid>
      <w:tr>
        <w:tc>
          <w:tcPr>
            <w:tcW w:type="dxa" w:w="3000"/>
            <w:tcBorders>
              <w:top w:val="single" w:color="D1D5DB" w:sz="1"/>
              <w:left w:val="single" w:color="D1D5DB" w:sz="1"/>
              <w:bottom w:val="single" w:color="D1D5DB" w:sz="1"/>
              <w:right w:val="single" w:color="D1D5DB" w:sz="1"/>
            </w:tcBorders>
            <w:shd w:fill="F0FAF7" w:val="clear"/>
            <w:tcMar>
              <w:top w:type="dxa" w:w="80"/>
              <w:left w:type="dxa" w:w="120"/>
              <w:bottom w:type="dxa" w:w="80"/>
              <w:right w:type="dxa" w:w="120"/>
            </w:tcMar>
          </w:tcPr>
          <w:p>
            <w:r>
              <w:rPr>
                <w:rFonts w:ascii="Arial" w:cs="Arial" w:eastAsia="Arial" w:hAnsi="Arial"/>
                <w:b/>
                <w:bCs/>
                <w:color w:val="1A1A2E"/>
                <w:sz w:val="20"/>
                <w:szCs w:val="20"/>
              </w:rPr>
              <w:t xml:space="preserve">Item</w:t>
            </w:r>
          </w:p>
        </w:tc>
        <w:tc>
          <w:tcPr>
            <w:tcW w:type="dxa" w:w="2500"/>
            <w:tcBorders>
              <w:top w:val="single" w:color="D1D5DB" w:sz="1"/>
              <w:left w:val="single" w:color="D1D5DB" w:sz="1"/>
              <w:bottom w:val="single" w:color="D1D5DB" w:sz="1"/>
              <w:right w:val="single" w:color="D1D5DB" w:sz="1"/>
            </w:tcBorders>
            <w:shd w:fill="F0FAF7" w:val="clear"/>
            <w:tcMar>
              <w:top w:type="dxa" w:w="80"/>
              <w:left w:type="dxa" w:w="120"/>
              <w:bottom w:type="dxa" w:w="80"/>
              <w:right w:type="dxa" w:w="120"/>
            </w:tcMar>
          </w:tcPr>
          <w:p>
            <w:r>
              <w:rPr>
                <w:rFonts w:ascii="Arial" w:cs="Arial" w:eastAsia="Arial" w:hAnsi="Arial"/>
                <w:b/>
                <w:bCs/>
                <w:color w:val="1A1A2E"/>
                <w:sz w:val="20"/>
                <w:szCs w:val="20"/>
              </w:rPr>
              <w:t xml:space="preserve">Monthly Cost</w:t>
            </w:r>
          </w:p>
        </w:tc>
        <w:tc>
          <w:tcPr>
            <w:tcW w:type="dxa" w:w="3860"/>
            <w:tcBorders>
              <w:top w:val="single" w:color="D1D5DB" w:sz="1"/>
              <w:left w:val="single" w:color="D1D5DB" w:sz="1"/>
              <w:bottom w:val="single" w:color="D1D5DB" w:sz="1"/>
              <w:right w:val="single" w:color="D1D5DB" w:sz="1"/>
            </w:tcBorders>
            <w:shd w:fill="F0FAF7" w:val="clear"/>
            <w:tcMar>
              <w:top w:type="dxa" w:w="80"/>
              <w:left w:type="dxa" w:w="120"/>
              <w:bottom w:type="dxa" w:w="80"/>
              <w:right w:type="dxa" w:w="120"/>
            </w:tcMar>
          </w:tcPr>
          <w:p>
            <w:r>
              <w:rPr>
                <w:rFonts w:ascii="Arial" w:cs="Arial" w:eastAsia="Arial" w:hAnsi="Arial"/>
                <w:b/>
                <w:bCs/>
                <w:color w:val="1A1A2E"/>
                <w:sz w:val="20"/>
                <w:szCs w:val="20"/>
              </w:rPr>
              <w:t xml:space="preserve">Notes</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Telnyx (call minutes)</w:t>
            </w:r>
          </w:p>
        </w:tc>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Variable</w:t>
            </w:r>
          </w:p>
        </w:tc>
        <w:tc>
          <w:tcPr>
            <w:tcW w:type="dxa" w:w="38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Pay-as-you-go, ~40% of call revenue</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Telnyx (DID numbers)</w:t>
            </w:r>
          </w:p>
        </w:tc>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~$1-2 per number</w:t>
            </w:r>
          </w:p>
        </w:tc>
        <w:tc>
          <w:tcPr>
            <w:tcW w:type="dxa" w:w="38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Recurring, covered by user subscription</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Supabase</w:t>
            </w:r>
          </w:p>
        </w:tc>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$0 (free tier)</w:t>
            </w:r>
          </w:p>
        </w:tc>
        <w:tc>
          <w:tcPr>
            <w:tcW w:type="dxa" w:w="38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Up to 50K monthly active users</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Vercel</w:t>
            </w:r>
          </w:p>
        </w:tc>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$0 (free tier)</w:t>
            </w:r>
          </w:p>
        </w:tc>
        <w:tc>
          <w:tcPr>
            <w:tcW w:type="dxa" w:w="38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Up to 100GB bandwidth</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Stripe</w:t>
            </w:r>
          </w:p>
        </w:tc>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2.9% + $0.30 per txn</w:t>
            </w:r>
          </w:p>
        </w:tc>
        <w:tc>
          <w:tcPr>
            <w:tcW w:type="dxa" w:w="38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~4-5% effective on $10-20 recharges</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Domain</w:t>
            </w:r>
          </w:p>
        </w:tc>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$12/year</w:t>
            </w:r>
          </w:p>
        </w:tc>
        <w:tc>
          <w:tcPr>
            <w:tcW w:type="dxa" w:w="38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callglobe.app</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App Stores</w:t>
            </w:r>
          </w:p>
        </w:tc>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$25 one-time (Play) + $99/yr (Apple)</w:t>
            </w:r>
          </w:p>
        </w:tc>
        <w:tc>
          <w:tcPr>
            <w:tcW w:type="dxa" w:w="38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One-time + annual</w:t>
            </w:r>
          </w:p>
        </w:tc>
      </w:tr>
    </w:tbl>
    <w:p>
      <w:r>
        <w:br w:type="page"/>
      </w:r>
    </w:p>
    <w:p>
      <w:pPr>
        <w:pStyle w:val="Heading1"/>
        <w:spacing w:after="200" w:before="400"/>
      </w:pPr>
      <w:r>
        <w:rPr>
          <w:rFonts w:ascii="Arial" w:cs="Arial" w:eastAsia="Arial" w:hAnsi="Arial"/>
          <w:b/>
          <w:bCs/>
          <w:color w:val="0A7B61"/>
          <w:sz w:val="32"/>
          <w:szCs w:val="32"/>
        </w:rPr>
        <w:t xml:space="preserve">7. Launch &amp; Growth Plan</w:t>
      </w:r>
    </w:p>
    <w:p>
      <w:pPr>
        <w:pStyle w:val="Heading2"/>
        <w:spacing w:after="150" w:before="300"/>
      </w:pPr>
      <w:r>
        <w:rPr>
          <w:rFonts w:ascii="Arial" w:cs="Arial" w:eastAsia="Arial" w:hAnsi="Arial"/>
          <w:b/>
          <w:bCs/>
          <w:color w:val="1A1A2E"/>
          <w:sz w:val="26"/>
          <w:szCs w:val="26"/>
        </w:rPr>
        <w:t xml:space="preserve">7.1 Phase 1: Soft Launch (Week 1-2)</w:t>
      </w:r>
    </w:p>
    <w:p>
      <w:pPr>
        <w:spacing w:after="120"/>
      </w:pPr>
      <w:r>
        <w:rPr>
          <w:rFonts w:ascii="Arial" w:cs="Arial" w:eastAsia="Arial" w:hAnsi="Arial"/>
          <w:color w:val="374151"/>
          <w:sz w:val="21"/>
          <w:szCs w:val="21"/>
        </w:rPr>
        <w:t xml:space="preserve">Deploy app, create Telnyx account, run database migration. Test with personal use (calling Nigeria). Validate call quality, recharge flow, and call logging. Fix bugs. Invite 10 close friends to test.</w:t>
      </w:r>
    </w:p>
    <w:p>
      <w:pPr>
        <w:spacing w:after="160"/>
      </w:pPr>
    </w:p>
    <w:p>
      <w:pPr>
        <w:pStyle w:val="Heading2"/>
        <w:spacing w:after="150" w:before="300"/>
      </w:pPr>
      <w:r>
        <w:rPr>
          <w:rFonts w:ascii="Arial" w:cs="Arial" w:eastAsia="Arial" w:hAnsi="Arial"/>
          <w:b/>
          <w:bCs/>
          <w:color w:val="1A1A2E"/>
          <w:sz w:val="26"/>
          <w:szCs w:val="26"/>
        </w:rPr>
        <w:t xml:space="preserve">7.2 Phase 2: Community Seed (Week 3-8)</w:t>
      </w:r>
    </w:p>
    <w:p>
      <w:pPr>
        <w:spacing w:after="120"/>
      </w:pPr>
      <w:r>
        <w:rPr>
          <w:rFonts w:ascii="Arial" w:cs="Arial" w:eastAsia="Arial" w:hAnsi="Arial"/>
          <w:color w:val="374151"/>
          <w:sz w:val="21"/>
          <w:szCs w:val="21"/>
        </w:rPr>
        <w:t xml:space="preserve">Share in Nigerian community WhatsApp groups in Saudi Arabia. Post in expat Facebook groups. Offer $5 free credit for first 100 signups. Activate referral program. Target 100 active users by end of month 2.</w:t>
      </w:r>
    </w:p>
    <w:p>
      <w:pPr>
        <w:spacing w:after="160"/>
      </w:pPr>
    </w:p>
    <w:p>
      <w:pPr>
        <w:pStyle w:val="Heading2"/>
        <w:spacing w:after="150" w:before="300"/>
      </w:pPr>
      <w:r>
        <w:rPr>
          <w:rFonts w:ascii="Arial" w:cs="Arial" w:eastAsia="Arial" w:hAnsi="Arial"/>
          <w:b/>
          <w:bCs/>
          <w:color w:val="1A1A2E"/>
          <w:sz w:val="26"/>
          <w:szCs w:val="26"/>
        </w:rPr>
        <w:t xml:space="preserve">7.3 Phase 3: Expand Corridors (Month 3-4)</w:t>
      </w:r>
    </w:p>
    <w:p>
      <w:pPr>
        <w:spacing w:after="120"/>
      </w:pPr>
      <w:r>
        <w:rPr>
          <w:rFonts w:ascii="Arial" w:cs="Arial" w:eastAsia="Arial" w:hAnsi="Arial"/>
          <w:color w:val="374151"/>
          <w:sz w:val="21"/>
          <w:szCs w:val="21"/>
        </w:rPr>
        <w:t xml:space="preserve">Add India, Pakistan, Philippines, Bangladesh, Egypt routes with competitive rates. Target respective diaspora communities in GCC with same WhatsApp group strategy. Goal: 500 active users.</w:t>
      </w:r>
    </w:p>
    <w:p>
      <w:pPr>
        <w:spacing w:after="160"/>
      </w:pPr>
    </w:p>
    <w:p>
      <w:pPr>
        <w:pStyle w:val="Heading2"/>
        <w:spacing w:after="150" w:before="300"/>
      </w:pPr>
      <w:r>
        <w:rPr>
          <w:rFonts w:ascii="Arial" w:cs="Arial" w:eastAsia="Arial" w:hAnsi="Arial"/>
          <w:b/>
          <w:bCs/>
          <w:color w:val="1A1A2E"/>
          <w:sz w:val="26"/>
          <w:szCs w:val="26"/>
        </w:rPr>
        <w:t xml:space="preserve">7.4 Phase 4: Mobile Top-Up (Month 4-5)</w:t>
      </w:r>
    </w:p>
    <w:p>
      <w:pPr>
        <w:spacing w:after="120"/>
      </w:pPr>
      <w:r>
        <w:rPr>
          <w:rFonts w:ascii="Arial" w:cs="Arial" w:eastAsia="Arial" w:hAnsi="Arial"/>
          <w:color w:val="374151"/>
          <w:sz w:val="21"/>
          <w:szCs w:val="21"/>
        </w:rPr>
        <w:t xml:space="preserve">Integrate Reloadly or DingConnect API for airtime transfers. Users can recharge family phones in Nigeria, India, Pakistan directly from the app. Higher margin product (10-15% on face value). This drives daily engagement beyond just calling.</w:t>
      </w:r>
    </w:p>
    <w:p>
      <w:pPr>
        <w:spacing w:after="160"/>
      </w:pPr>
    </w:p>
    <w:p>
      <w:pPr>
        <w:pStyle w:val="Heading2"/>
        <w:spacing w:after="150" w:before="300"/>
      </w:pPr>
      <w:r>
        <w:rPr>
          <w:rFonts w:ascii="Arial" w:cs="Arial" w:eastAsia="Arial" w:hAnsi="Arial"/>
          <w:b/>
          <w:bCs/>
          <w:color w:val="1A1A2E"/>
          <w:sz w:val="26"/>
          <w:szCs w:val="26"/>
        </w:rPr>
        <w:t xml:space="preserve">7.5 Phase 5: Subscription Plans (Month 5-6)</w:t>
      </w:r>
    </w:p>
    <w:p>
      <w:pPr>
        <w:spacing w:after="120"/>
      </w:pPr>
      <w:r>
        <w:rPr>
          <w:rFonts w:ascii="Arial" w:cs="Arial" w:eastAsia="Arial" w:hAnsi="Arial"/>
          <w:color w:val="374151"/>
          <w:sz w:val="21"/>
          <w:szCs w:val="21"/>
        </w:rPr>
        <w:t xml:space="preserve">Launch unlimited calling plans to top destinations: $9.99/mo unlimited to Nigeria, $4.99/mo unlimited to India. Predictable revenue, higher user lifetime value. Based on flat-rate deals with Telnyx for high-volume routes.</w:t>
      </w:r>
    </w:p>
    <w:p>
      <w:pPr>
        <w:spacing w:after="160"/>
      </w:pPr>
    </w:p>
    <w:p>
      <w:pPr>
        <w:pStyle w:val="Heading2"/>
        <w:spacing w:after="150" w:before="300"/>
      </w:pPr>
      <w:r>
        <w:rPr>
          <w:rFonts w:ascii="Arial" w:cs="Arial" w:eastAsia="Arial" w:hAnsi="Arial"/>
          <w:b/>
          <w:bCs/>
          <w:color w:val="1A1A2E"/>
          <w:sz w:val="26"/>
          <w:szCs w:val="26"/>
        </w:rPr>
        <w:t xml:space="preserve">7.6 Phase 6: Money Transfer (Month 6+)</w:t>
      </w:r>
    </w:p>
    <w:p>
      <w:pPr>
        <w:spacing w:after="120"/>
      </w:pPr>
      <w:r>
        <w:rPr>
          <w:rFonts w:ascii="Arial" w:cs="Arial" w:eastAsia="Arial" w:hAnsi="Arial"/>
          <w:color w:val="374151"/>
          <w:sz w:val="21"/>
          <w:szCs w:val="21"/>
        </w:rPr>
        <w:t xml:space="preserve">Partner with a licensed money transfer operator or obtain FINCEN MSB registration for US LLC. International remittance is where Boss Revolution and Rebtel make the bulk of their revenue (3-7% fees + FX spread). This transforms CallGlobe from a calling app into a full diaspora financial services platform.</w:t>
      </w:r>
    </w:p>
    <w:p>
      <w:r>
        <w:br w:type="page"/>
      </w:r>
    </w:p>
    <w:p>
      <w:pPr>
        <w:pStyle w:val="Heading1"/>
        <w:spacing w:after="200" w:before="400"/>
      </w:pPr>
      <w:r>
        <w:rPr>
          <w:rFonts w:ascii="Arial" w:cs="Arial" w:eastAsia="Arial" w:hAnsi="Arial"/>
          <w:b/>
          <w:bCs/>
          <w:color w:val="0A7B61"/>
          <w:sz w:val="32"/>
          <w:szCs w:val="32"/>
        </w:rPr>
        <w:t xml:space="preserve">8.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000"/>
        <w:gridCol w:w="5160"/>
      </w:tblGrid>
      <w:tr>
        <w:tc>
          <w:tcPr>
            <w:tcW w:type="dxa" w:w="3200"/>
            <w:tcBorders>
              <w:top w:val="single" w:color="D1D5DB" w:sz="1"/>
              <w:left w:val="single" w:color="D1D5DB" w:sz="1"/>
              <w:bottom w:val="single" w:color="D1D5DB" w:sz="1"/>
              <w:right w:val="single" w:color="D1D5DB" w:sz="1"/>
            </w:tcBorders>
            <w:shd w:fill="F0FAF7" w:val="clear"/>
            <w:tcMar>
              <w:top w:type="dxa" w:w="80"/>
              <w:left w:type="dxa" w:w="120"/>
              <w:bottom w:type="dxa" w:w="80"/>
              <w:right w:type="dxa" w:w="120"/>
            </w:tcMar>
          </w:tcPr>
          <w:p>
            <w:r>
              <w:rPr>
                <w:rFonts w:ascii="Arial" w:cs="Arial" w:eastAsia="Arial" w:hAnsi="Arial"/>
                <w:b/>
                <w:bCs/>
                <w:color w:val="1A1A2E"/>
                <w:sz w:val="20"/>
                <w:szCs w:val="20"/>
              </w:rPr>
              <w:t xml:space="preserve">Risk</w:t>
            </w:r>
          </w:p>
        </w:tc>
        <w:tc>
          <w:tcPr>
            <w:tcW w:type="dxa" w:w="1000"/>
            <w:tcBorders>
              <w:top w:val="single" w:color="D1D5DB" w:sz="1"/>
              <w:left w:val="single" w:color="D1D5DB" w:sz="1"/>
              <w:bottom w:val="single" w:color="D1D5DB" w:sz="1"/>
              <w:right w:val="single" w:color="D1D5DB" w:sz="1"/>
            </w:tcBorders>
            <w:shd w:fill="F0FAF7" w:val="clear"/>
            <w:tcMar>
              <w:top w:type="dxa" w:w="80"/>
              <w:left w:type="dxa" w:w="120"/>
              <w:bottom w:type="dxa" w:w="80"/>
              <w:right w:type="dxa" w:w="120"/>
            </w:tcMar>
          </w:tcPr>
          <w:p>
            <w:r>
              <w:rPr>
                <w:rFonts w:ascii="Arial" w:cs="Arial" w:eastAsia="Arial" w:hAnsi="Arial"/>
                <w:b/>
                <w:bCs/>
                <w:color w:val="1A1A2E"/>
                <w:sz w:val="20"/>
                <w:szCs w:val="20"/>
              </w:rPr>
              <w:t xml:space="preserve">Severity</w:t>
            </w:r>
          </w:p>
        </w:tc>
        <w:tc>
          <w:tcPr>
            <w:tcW w:type="dxa" w:w="5160"/>
            <w:tcBorders>
              <w:top w:val="single" w:color="D1D5DB" w:sz="1"/>
              <w:left w:val="single" w:color="D1D5DB" w:sz="1"/>
              <w:bottom w:val="single" w:color="D1D5DB" w:sz="1"/>
              <w:right w:val="single" w:color="D1D5DB" w:sz="1"/>
            </w:tcBorders>
            <w:shd w:fill="F0FAF7" w:val="clear"/>
            <w:tcMar>
              <w:top w:type="dxa" w:w="80"/>
              <w:left w:type="dxa" w:w="120"/>
              <w:bottom w:type="dxa" w:w="80"/>
              <w:right w:type="dxa" w:w="120"/>
            </w:tcMar>
          </w:tcPr>
          <w:p>
            <w:r>
              <w:rPr>
                <w:rFonts w:ascii="Arial" w:cs="Arial" w:eastAsia="Arial" w:hAnsi="Arial"/>
                <w:b/>
                <w:bCs/>
                <w:color w:val="1A1A2E"/>
                <w:sz w:val="20"/>
                <w:szCs w:val="20"/>
              </w:rPr>
              <w:t xml:space="preserve">Mitigation</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Telnyx quality issues on specific routes</w:t>
            </w:r>
          </w:p>
        </w:tc>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Medium</w:t>
            </w:r>
          </w:p>
        </w:tc>
        <w:tc>
          <w:tcPr>
            <w:tcW w:type="dxa" w:w="5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Monitor CDR quality metrics, add backup routes via Twilio</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Stripe account suspension (VoIP flagged)</w:t>
            </w:r>
          </w:p>
        </w:tc>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High</w:t>
            </w:r>
          </w:p>
        </w:tc>
        <w:tc>
          <w:tcPr>
            <w:tcW w:type="dxa" w:w="5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Maintain clean chargeback rate (&lt;1%), proactive Stripe communication</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User acquisition cost exceeds LTV</w:t>
            </w:r>
          </w:p>
        </w:tc>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Medium</w:t>
            </w:r>
          </w:p>
        </w:tc>
        <w:tc>
          <w:tcPr>
            <w:tcW w:type="dxa" w:w="5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$10 min recharge + referral program keeps CAC low</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WhatsApp adds PSTN calling</w:t>
            </w:r>
          </w:p>
        </w:tc>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High</w:t>
            </w:r>
          </w:p>
        </w:tc>
        <w:tc>
          <w:tcPr>
            <w:tcW w:type="dxa" w:w="5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Differentiate with multi-number, caller ID, subscription plans</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Regulatory issues in specific countries</w:t>
            </w:r>
          </w:p>
        </w:tc>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Medium</w:t>
            </w:r>
          </w:p>
        </w:tc>
        <w:tc>
          <w:tcPr>
            <w:tcW w:type="dxa" w:w="5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LLC registered in US, using licensed carrier (Telnyx). No direct telecom license needed</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Call fraud/toll fraud</w:t>
            </w:r>
          </w:p>
        </w:tc>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Medium</w:t>
            </w:r>
          </w:p>
        </w:tc>
        <w:tc>
          <w:tcPr>
            <w:tcW w:type="dxa" w:w="5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Balance-based system limits exposure. Rate limiting. Velocity checks</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Competitor price war</w:t>
            </w:r>
          </w:p>
        </w:tc>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Low</w:t>
            </w:r>
          </w:p>
        </w:tc>
        <w:tc>
          <w:tcPr>
            <w:tcW w:type="dxa" w:w="5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Already at 50% below market. Cost structure allows further cuts</w:t>
            </w:r>
          </w:p>
        </w:tc>
      </w:tr>
    </w:tbl>
    <w:p>
      <w:pPr>
        <w:spacing w:after="160"/>
      </w:pPr>
    </w:p>
    <w:p>
      <w:pPr>
        <w:pStyle w:val="Heading1"/>
        <w:spacing w:after="200" w:before="400"/>
      </w:pPr>
      <w:r>
        <w:rPr>
          <w:rFonts w:ascii="Arial" w:cs="Arial" w:eastAsia="Arial" w:hAnsi="Arial"/>
          <w:b/>
          <w:bCs/>
          <w:color w:val="0A7B61"/>
          <w:sz w:val="32"/>
          <w:szCs w:val="32"/>
        </w:rPr>
        <w:t xml:space="preserve">9. Success Metrics &amp;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1800"/>
        <w:gridCol w:w="2360"/>
      </w:tblGrid>
      <w:tr>
        <w:tc>
          <w:tcPr>
            <w:tcW w:type="dxa" w:w="2800"/>
            <w:tcBorders>
              <w:top w:val="single" w:color="D1D5DB" w:sz="1"/>
              <w:left w:val="single" w:color="D1D5DB" w:sz="1"/>
              <w:bottom w:val="single" w:color="D1D5DB" w:sz="1"/>
              <w:right w:val="single" w:color="D1D5DB" w:sz="1"/>
            </w:tcBorders>
            <w:shd w:fill="F0FAF7" w:val="clear"/>
            <w:tcMar>
              <w:top w:type="dxa" w:w="80"/>
              <w:left w:type="dxa" w:w="120"/>
              <w:bottom w:type="dxa" w:w="80"/>
              <w:right w:type="dxa" w:w="120"/>
            </w:tcMar>
          </w:tcPr>
          <w:p>
            <w:r>
              <w:rPr>
                <w:rFonts w:ascii="Arial" w:cs="Arial" w:eastAsia="Arial" w:hAnsi="Arial"/>
                <w:b/>
                <w:bCs/>
                <w:color w:val="1A1A2E"/>
                <w:sz w:val="20"/>
                <w:szCs w:val="20"/>
              </w:rPr>
              <w:t xml:space="preserve">KPI</w:t>
            </w:r>
          </w:p>
        </w:tc>
        <w:tc>
          <w:tcPr>
            <w:tcW w:type="dxa" w:w="2400"/>
            <w:tcBorders>
              <w:top w:val="single" w:color="D1D5DB" w:sz="1"/>
              <w:left w:val="single" w:color="D1D5DB" w:sz="1"/>
              <w:bottom w:val="single" w:color="D1D5DB" w:sz="1"/>
              <w:right w:val="single" w:color="D1D5DB" w:sz="1"/>
            </w:tcBorders>
            <w:shd w:fill="F0FAF7" w:val="clear"/>
            <w:tcMar>
              <w:top w:type="dxa" w:w="80"/>
              <w:left w:type="dxa" w:w="120"/>
              <w:bottom w:type="dxa" w:w="80"/>
              <w:right w:type="dxa" w:w="120"/>
            </w:tcMar>
          </w:tcPr>
          <w:p>
            <w:r>
              <w:rPr>
                <w:rFonts w:ascii="Arial" w:cs="Arial" w:eastAsia="Arial" w:hAnsi="Arial"/>
                <w:b/>
                <w:bCs/>
                <w:color w:val="1A1A2E"/>
                <w:sz w:val="20"/>
                <w:szCs w:val="20"/>
              </w:rPr>
              <w:t xml:space="preserve">Definition</w:t>
            </w:r>
          </w:p>
        </w:tc>
        <w:tc>
          <w:tcPr>
            <w:tcW w:type="dxa" w:w="1800"/>
            <w:tcBorders>
              <w:top w:val="single" w:color="D1D5DB" w:sz="1"/>
              <w:left w:val="single" w:color="D1D5DB" w:sz="1"/>
              <w:bottom w:val="single" w:color="D1D5DB" w:sz="1"/>
              <w:right w:val="single" w:color="D1D5DB" w:sz="1"/>
            </w:tcBorders>
            <w:shd w:fill="F0FAF7" w:val="clear"/>
            <w:tcMar>
              <w:top w:type="dxa" w:w="80"/>
              <w:left w:type="dxa" w:w="120"/>
              <w:bottom w:type="dxa" w:w="80"/>
              <w:right w:type="dxa" w:w="120"/>
            </w:tcMar>
          </w:tcPr>
          <w:p>
            <w:r>
              <w:rPr>
                <w:rFonts w:ascii="Arial" w:cs="Arial" w:eastAsia="Arial" w:hAnsi="Arial"/>
                <w:b/>
                <w:bCs/>
                <w:color w:val="1A1A2E"/>
                <w:sz w:val="20"/>
                <w:szCs w:val="20"/>
              </w:rPr>
              <w:t xml:space="preserve">Target</w:t>
            </w:r>
          </w:p>
        </w:tc>
        <w:tc>
          <w:tcPr>
            <w:tcW w:type="dxa" w:w="2360"/>
            <w:tcBorders>
              <w:top w:val="single" w:color="D1D5DB" w:sz="1"/>
              <w:left w:val="single" w:color="D1D5DB" w:sz="1"/>
              <w:bottom w:val="single" w:color="D1D5DB" w:sz="1"/>
              <w:right w:val="single" w:color="D1D5DB" w:sz="1"/>
            </w:tcBorders>
            <w:shd w:fill="F0FAF7" w:val="clear"/>
            <w:tcMar>
              <w:top w:type="dxa" w:w="80"/>
              <w:left w:type="dxa" w:w="120"/>
              <w:bottom w:type="dxa" w:w="80"/>
              <w:right w:type="dxa" w:w="120"/>
            </w:tcMar>
          </w:tcPr>
          <w:p>
            <w:r>
              <w:rPr>
                <w:rFonts w:ascii="Arial" w:cs="Arial" w:eastAsia="Arial" w:hAnsi="Arial"/>
                <w:b/>
                <w:bCs/>
                <w:color w:val="1A1A2E"/>
                <w:sz w:val="20"/>
                <w:szCs w:val="20"/>
              </w:rPr>
              <w:t xml:space="preserve">Measurement</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Monthly Active Users (MAU)</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Users making 1+ call per month</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5,000 by month 12</w:t>
            </w:r>
          </w:p>
        </w:tc>
        <w:tc>
          <w:tcPr>
            <w:tcW w:type="dxa" w:w="2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Supabase analytics</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Average Revenue Per User (ARPU)</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Monthly revenue / MAU</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$10+</w:t>
            </w:r>
          </w:p>
        </w:tc>
        <w:tc>
          <w:tcPr>
            <w:tcW w:type="dxa" w:w="2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Stripe + DB</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Customer Acquisition Cost (CAC)</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Total marketing spend / new users</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&lt;$5</w:t>
            </w:r>
          </w:p>
        </w:tc>
        <w:tc>
          <w:tcPr>
            <w:tcW w:type="dxa" w:w="2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Referral tracking</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Gross Margin</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Revenue - COGS / Revenue</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&gt;55%</w:t>
            </w:r>
          </w:p>
        </w:tc>
        <w:tc>
          <w:tcPr>
            <w:tcW w:type="dxa" w:w="2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Financial reporting</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Churn Rate</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Users who stop using in a month</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&lt;15%</w:t>
            </w:r>
          </w:p>
        </w:tc>
        <w:tc>
          <w:tcPr>
            <w:tcW w:type="dxa" w:w="2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Activity tracking</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Referral Conversion Rate</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Referred signups who recharge</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&gt;30%</w:t>
            </w:r>
          </w:p>
        </w:tc>
        <w:tc>
          <w:tcPr>
            <w:tcW w:type="dxa" w:w="2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Referral table</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Call Quality Score (MOS)</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Mean Opinion Score from Telnyx CDRs</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&gt;3.8/5</w:t>
            </w:r>
          </w:p>
        </w:tc>
        <w:tc>
          <w:tcPr>
            <w:tcW w:type="dxa" w:w="2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Telnyx dashboard</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Numbers Per User</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Avg purchased numbers</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&gt;1.5</w:t>
            </w:r>
          </w:p>
        </w:tc>
        <w:tc>
          <w:tcPr>
            <w:tcW w:type="dxa" w:w="2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user_numbers table</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NPS Score</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Net Promoter Score from in-app survey</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&gt;40</w:t>
            </w:r>
          </w:p>
        </w:tc>
        <w:tc>
          <w:tcPr>
            <w:tcW w:type="dxa" w:w="2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Quarterly survey</w:t>
            </w:r>
          </w:p>
        </w:tc>
      </w:tr>
    </w:tbl>
    <w:p>
      <w:pPr>
        <w:spacing w:after="160"/>
      </w:pPr>
    </w:p>
    <w:p>
      <w:pPr>
        <w:spacing w:after="120"/>
      </w:pPr>
      <w:r>
        <w:rPr>
          <w:rFonts w:ascii="Arial" w:cs="Arial" w:eastAsia="Arial" w:hAnsi="Arial"/>
          <w:color w:val="374151"/>
          <w:sz w:val="21"/>
          <w:szCs w:val="21"/>
        </w:rPr>
        <w:t xml:space="preserve">Document End. CallGlobe PRD v1.0 — March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CA3AF"/>
        <w:sz w:val="16"/>
        <w:szCs w:val="16"/>
      </w:rPr>
      <w:t xml:space="preserve">Page </w:t>
    </w:r>
    <w:r>
      <w:rPr>
        <w:rFonts w:ascii="Arial" w:cs="Arial" w:eastAsia="Arial" w:hAnsi="Arial"/>
        <w:color w:val="9CA3A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CA3AF"/>
        <w:sz w:val="16"/>
        <w:szCs w:val="16"/>
      </w:rPr>
      <w:t xml:space="preserve">CallGlobe PRD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0A7B61"/>
      <w:sz w:val="32"/>
      <w:szCs w:val="32"/>
    </w:rPr>
  </w:style>
  <w:style w:type="paragraph" w:styleId="Heading2">
    <w:name w:val="Heading 2"/>
    <w:basedOn w:val="Normal"/>
    <w:next w:val="Normal"/>
    <w:qFormat/>
    <w:pPr>
      <w:spacing w:after="150" w:before="300"/>
      <w:outlineLvl w:val="1"/>
    </w:pPr>
    <w:rPr>
      <w:rFonts w:ascii="Arial" w:cs="Arial" w:eastAsia="Arial" w:hAnsi="Arial"/>
      <w:b/>
      <w:bCs/>
      <w:color w:val="1A1A2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2026-03-16T13:20:48.090Z</dcterms:created>
  <dcterms:modified xsi:type="dcterms:W3CDTF">2026-03-16T13:20:48.092Z</dcterms:modified>
</cp:coreProperties>
</file>

<file path=docProps/custom.xml><?xml version="1.0" encoding="utf-8"?>
<Properties xmlns="http://schemas.openxmlformats.org/officeDocument/2006/custom-properties" xmlns:vt="http://schemas.openxmlformats.org/officeDocument/2006/docPropsVTypes"/>
</file>