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898" w:rsidRPr="00223898" w:rsidRDefault="00CC28E0" w:rsidP="00223898">
      <w:pPr>
        <w:spacing w:before="180" w:after="180" w:line="48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t>Supplemental Material S6</w:t>
      </w:r>
      <w:r w:rsidR="00223898" w:rsidRPr="00223898">
        <w:rPr>
          <w:rFonts w:ascii="Times New Roman" w:eastAsia="Cambria" w:hAnsi="Times New Roman" w:cs="Times New Roman"/>
          <w:sz w:val="24"/>
          <w:szCs w:val="24"/>
        </w:rPr>
        <w:t xml:space="preserve">: </w:t>
      </w:r>
      <w:bookmarkStart w:id="0" w:name="tab:sub"/>
      <w:r>
        <w:rPr>
          <w:rFonts w:ascii="Times New Roman" w:eastAsia="Cambria" w:hAnsi="Times New Roman" w:cs="Times New Roman"/>
          <w:sz w:val="24"/>
          <w:szCs w:val="24"/>
        </w:rPr>
        <w:t xml:space="preserve">Population Attributable Fraction of Central Obesity for Stroke, Myocardial Infarction and Diabetes </w:t>
      </w:r>
      <w:r w:rsidR="00223898" w:rsidRPr="00223898">
        <w:rPr>
          <w:rFonts w:ascii="Times New Roman" w:eastAsia="Cambria" w:hAnsi="Times New Roman" w:cs="Times New Roman"/>
          <w:sz w:val="24"/>
          <w:szCs w:val="24"/>
        </w:rPr>
        <w:t>by Gender, Area of Residence and Region</w:t>
      </w:r>
      <w:bookmarkEnd w:id="0"/>
    </w:p>
    <w:tbl>
      <w:tblPr>
        <w:tblW w:w="7650" w:type="dxa"/>
        <w:jc w:val="center"/>
        <w:tblBorders>
          <w:top w:val="single" w:sz="4" w:space="0" w:color="auto"/>
        </w:tblBorders>
        <w:tblLayout w:type="fixed"/>
        <w:tblLook w:val="0420" w:firstRow="1" w:lastRow="0" w:firstColumn="0" w:lastColumn="0" w:noHBand="0" w:noVBand="1"/>
      </w:tblPr>
      <w:tblGrid>
        <w:gridCol w:w="1450"/>
        <w:gridCol w:w="2231"/>
        <w:gridCol w:w="1134"/>
        <w:gridCol w:w="1417"/>
        <w:gridCol w:w="1418"/>
      </w:tblGrid>
      <w:tr w:rsidR="00CC28E0" w:rsidRPr="00223898" w:rsidTr="0028523F">
        <w:trPr>
          <w:cantSplit/>
          <w:tblHeader/>
          <w:jc w:val="center"/>
        </w:trPr>
        <w:tc>
          <w:tcPr>
            <w:tcW w:w="14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C28E0" w:rsidRPr="00223898" w:rsidRDefault="00CC28E0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Groups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C28E0" w:rsidRPr="00BC721B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  <w:vertAlign w:val="superscript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Central Obesity </w:t>
            </w:r>
            <w:r w:rsidR="00CC28E0" w:rsidRPr="00223898">
              <w:rPr>
                <w:rFonts w:ascii="Arial" w:eastAsia="Arial" w:hAnsi="Arial" w:cs="Arial"/>
                <w:color w:val="000000"/>
              </w:rPr>
              <w:t>Prevalence (95% CI)</w:t>
            </w:r>
            <w:r>
              <w:rPr>
                <w:rFonts w:ascii="Arial" w:eastAsia="Arial" w:hAnsi="Arial" w:cs="Arial"/>
                <w:color w:val="000000"/>
                <w:vertAlign w:val="superscript"/>
              </w:rPr>
              <w:t>a</w:t>
            </w:r>
          </w:p>
        </w:tc>
        <w:tc>
          <w:tcPr>
            <w:tcW w:w="396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C28E0" w:rsidRPr="00BC721B" w:rsidRDefault="00CC28E0" w:rsidP="00CC28E0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  <w:vertAlign w:val="superscript"/>
              </w:rPr>
            </w:pPr>
            <w:r>
              <w:rPr>
                <w:rFonts w:ascii="Arial" w:eastAsia="Arial" w:hAnsi="Arial" w:cs="Arial"/>
                <w:color w:val="000000"/>
              </w:rPr>
              <w:t>Population Attributable Fraction (%)</w:t>
            </w:r>
            <w:r w:rsidR="00BC721B">
              <w:rPr>
                <w:rFonts w:ascii="Arial" w:eastAsia="Arial" w:hAnsi="Arial" w:cs="Arial"/>
                <w:color w:val="000000"/>
                <w:vertAlign w:val="superscript"/>
              </w:rPr>
              <w:t>b</w:t>
            </w:r>
          </w:p>
        </w:tc>
      </w:tr>
      <w:tr w:rsidR="00BC721B" w:rsidRPr="00223898" w:rsidTr="0028523F">
        <w:trPr>
          <w:cantSplit/>
          <w:jc w:val="center"/>
        </w:trPr>
        <w:tc>
          <w:tcPr>
            <w:tcW w:w="145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Default="00BC721B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b/>
                <w:sz w:val="24"/>
                <w:szCs w:val="24"/>
              </w:rPr>
            </w:pPr>
          </w:p>
        </w:tc>
        <w:tc>
          <w:tcPr>
            <w:tcW w:w="223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6279A3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  <w:vertAlign w:val="superscript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Stroke</w:t>
            </w:r>
            <w:r w:rsidR="006279A3">
              <w:rPr>
                <w:rFonts w:ascii="Cambria" w:eastAsia="Cambria" w:hAnsi="Cambria" w:cs="Times New Roman"/>
                <w:sz w:val="24"/>
                <w:szCs w:val="24"/>
                <w:vertAlign w:val="superscript"/>
              </w:rPr>
              <w:t>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6279A3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  <w:vertAlign w:val="superscript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Myocardial Infarction</w:t>
            </w:r>
            <w:r w:rsidR="006279A3">
              <w:rPr>
                <w:rFonts w:ascii="Cambria" w:eastAsia="Cambria" w:hAnsi="Cambria" w:cs="Times New Roman"/>
                <w:sz w:val="24"/>
                <w:szCs w:val="24"/>
                <w:vertAlign w:val="superscript"/>
              </w:rPr>
              <w:t>d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Diabetes</w:t>
            </w:r>
            <w:r w:rsidR="006279A3">
              <w:rPr>
                <w:rFonts w:ascii="Cambria" w:eastAsia="Cambria" w:hAnsi="Cambria" w:cs="Times New Roman"/>
                <w:sz w:val="24"/>
                <w:szCs w:val="24"/>
                <w:vertAlign w:val="superscript"/>
              </w:rPr>
              <w:t>e</w:t>
            </w:r>
            <w:r>
              <w:rPr>
                <w:rFonts w:ascii="Cambria" w:eastAsia="Cambria" w:hAnsi="Cambria" w:cs="Times New Roman"/>
                <w:sz w:val="24"/>
                <w:szCs w:val="24"/>
              </w:rPr>
              <w:t xml:space="preserve"> </w:t>
            </w:r>
          </w:p>
        </w:tc>
      </w:tr>
      <w:tr w:rsidR="00BC721B" w:rsidRPr="00223898" w:rsidTr="0028523F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8523F" w:rsidRDefault="00BC721B" w:rsidP="00223898">
            <w:pPr>
              <w:spacing w:before="100" w:after="100" w:line="240" w:lineRule="auto"/>
              <w:ind w:left="100" w:right="100"/>
              <w:rPr>
                <w:rFonts w:ascii="Arial" w:eastAsia="Cambria" w:hAnsi="Arial" w:cs="Arial"/>
                <w:b/>
                <w:sz w:val="24"/>
                <w:szCs w:val="24"/>
              </w:rPr>
            </w:pPr>
            <w:r w:rsidRPr="0028523F">
              <w:rPr>
                <w:rFonts w:ascii="Arial" w:eastAsia="Cambria" w:hAnsi="Arial" w:cs="Arial"/>
                <w:b/>
                <w:sz w:val="24"/>
                <w:szCs w:val="24"/>
              </w:rPr>
              <w:t>Overall</w:t>
            </w:r>
          </w:p>
        </w:tc>
        <w:tc>
          <w:tcPr>
            <w:tcW w:w="22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15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21</w:t>
            </w:r>
          </w:p>
        </w:tc>
      </w:tr>
      <w:tr w:rsidR="00BC721B" w:rsidRPr="00223898" w:rsidTr="0028523F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b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b/>
                <w:color w:val="000000"/>
              </w:rPr>
              <w:t>Gender</w:t>
            </w:r>
          </w:p>
        </w:tc>
        <w:tc>
          <w:tcPr>
            <w:tcW w:w="22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</w:tr>
      <w:tr w:rsidR="00BC721B" w:rsidRPr="00223898" w:rsidTr="0028523F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Females</w:t>
            </w:r>
          </w:p>
        </w:tc>
        <w:tc>
          <w:tcPr>
            <w:tcW w:w="22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0.536(0.392-0.677)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33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21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29</w:t>
            </w:r>
          </w:p>
        </w:tc>
      </w:tr>
      <w:tr w:rsidR="00BC721B" w:rsidRPr="00223898" w:rsidTr="0028523F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Males</w:t>
            </w:r>
          </w:p>
        </w:tc>
        <w:tc>
          <w:tcPr>
            <w:tcW w:w="22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0.125(0.046-0.235)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4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7</w:t>
            </w:r>
          </w:p>
        </w:tc>
      </w:tr>
      <w:tr w:rsidR="00BC721B" w:rsidRPr="00223898" w:rsidTr="0028523F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</w:tr>
      <w:tr w:rsidR="00BC721B" w:rsidRPr="00223898" w:rsidTr="0028523F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b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b/>
                <w:color w:val="000000"/>
              </w:rPr>
              <w:t>Residence</w:t>
            </w:r>
          </w:p>
        </w:tc>
        <w:tc>
          <w:tcPr>
            <w:tcW w:w="22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</w:tr>
      <w:tr w:rsidR="00BC721B" w:rsidRPr="00223898" w:rsidTr="0028523F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Rural</w:t>
            </w:r>
          </w:p>
        </w:tc>
        <w:tc>
          <w:tcPr>
            <w:tcW w:w="22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0.279(0.126-0.464)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11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15</w:t>
            </w:r>
          </w:p>
        </w:tc>
      </w:tr>
      <w:tr w:rsidR="00BC721B" w:rsidRPr="00223898" w:rsidTr="0028523F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Urban</w:t>
            </w:r>
          </w:p>
        </w:tc>
        <w:tc>
          <w:tcPr>
            <w:tcW w:w="22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0.449(0.280-0.265)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27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17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24</w:t>
            </w:r>
          </w:p>
        </w:tc>
      </w:tr>
      <w:tr w:rsidR="00BC721B" w:rsidRPr="00223898" w:rsidTr="0028523F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</w:tr>
      <w:tr w:rsidR="00BC721B" w:rsidRPr="00223898" w:rsidTr="0028523F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b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b/>
                <w:color w:val="000000"/>
              </w:rPr>
              <w:t>Regions</w:t>
            </w:r>
          </w:p>
        </w:tc>
        <w:tc>
          <w:tcPr>
            <w:tcW w:w="22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</w:tr>
      <w:tr w:rsidR="00BC721B" w:rsidRPr="00223898" w:rsidTr="0028523F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Northern</w:t>
            </w:r>
          </w:p>
        </w:tc>
        <w:tc>
          <w:tcPr>
            <w:tcW w:w="22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0.183(0.031-0.422)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11</w:t>
            </w:r>
          </w:p>
        </w:tc>
        <w:tc>
          <w:tcPr>
            <w:tcW w:w="1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7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10</w:t>
            </w:r>
          </w:p>
        </w:tc>
      </w:tr>
      <w:tr w:rsidR="00BC721B" w:rsidRPr="00223898" w:rsidTr="0028523F">
        <w:trPr>
          <w:cantSplit/>
          <w:jc w:val="center"/>
        </w:trPr>
        <w:tc>
          <w:tcPr>
            <w:tcW w:w="145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Southern</w:t>
            </w:r>
          </w:p>
        </w:tc>
        <w:tc>
          <w:tcPr>
            <w:tcW w:w="223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BC721B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0.482(0.318-0.647)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30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424D90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18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21B" w:rsidRPr="00223898" w:rsidRDefault="0028523F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26</w:t>
            </w:r>
          </w:p>
        </w:tc>
      </w:tr>
      <w:tr w:rsidR="00223898" w:rsidRPr="00223898" w:rsidTr="0028523F">
        <w:trPr>
          <w:cantSplit/>
          <w:jc w:val="center"/>
        </w:trPr>
        <w:tc>
          <w:tcPr>
            <w:tcW w:w="7650" w:type="dxa"/>
            <w:gridSpan w:val="5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Default="00BC721B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a:</w:t>
            </w:r>
            <w:r w:rsidR="00223898" w:rsidRPr="00223898">
              <w:rPr>
                <w:rFonts w:ascii="Cambria" w:eastAsia="Cambria" w:hAnsi="Cambria" w:cs="Times New Roman"/>
                <w:sz w:val="24"/>
                <w:szCs w:val="24"/>
              </w:rPr>
              <w:t xml:space="preserve"> International Diabetes Federation</w:t>
            </w:r>
            <w:r>
              <w:rPr>
                <w:rFonts w:ascii="Cambria" w:eastAsia="Cambria" w:hAnsi="Cambria" w:cs="Times New Roman"/>
                <w:sz w:val="24"/>
                <w:szCs w:val="24"/>
              </w:rPr>
              <w:t xml:space="preserve"> (IDF) criteria</w:t>
            </w:r>
          </w:p>
          <w:p w:rsidR="00BC721B" w:rsidRPr="00BA57AB" w:rsidRDefault="00BC721B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  <w:vertAlign w:val="superscript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b: Calculated based on the formula PAF = pd(RR-1/RR), where pd = prevalence of central obesity and RR = measure of adjusted relative risk</w:t>
            </w:r>
            <w:r w:rsidR="00BA57AB">
              <w:rPr>
                <w:rFonts w:ascii="Cambria" w:eastAsia="Cambria" w:hAnsi="Cambria" w:cs="Times New Roman"/>
                <w:sz w:val="24"/>
                <w:szCs w:val="24"/>
                <w:vertAlign w:val="superscript"/>
              </w:rPr>
              <w:t>68</w:t>
            </w:r>
            <w:bookmarkStart w:id="1" w:name="_GoBack"/>
            <w:bookmarkEnd w:id="1"/>
          </w:p>
          <w:p w:rsidR="006279A3" w:rsidRPr="003F4AAB" w:rsidRDefault="006279A3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  <w:vertAlign w:val="superscript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>c: RR</w:t>
            </w:r>
            <w:r w:rsidR="00E95AA5">
              <w:rPr>
                <w:rFonts w:ascii="Cambria" w:eastAsia="Cambria" w:hAnsi="Cambria" w:cs="Times New Roman"/>
                <w:sz w:val="24"/>
                <w:szCs w:val="24"/>
              </w:rPr>
              <w:t xml:space="preserve"> of 2.58</w:t>
            </w:r>
            <w:r>
              <w:rPr>
                <w:rFonts w:ascii="Cambria" w:eastAsia="Cambria" w:hAnsi="Cambria" w:cs="Times New Roman"/>
                <w:sz w:val="24"/>
                <w:szCs w:val="24"/>
              </w:rPr>
              <w:t xml:space="preserve"> from the SIREN STUDY</w:t>
            </w:r>
            <w:r w:rsidR="003F4AAB">
              <w:rPr>
                <w:rFonts w:ascii="Cambria" w:eastAsia="Cambria" w:hAnsi="Cambria" w:cs="Times New Roman"/>
                <w:sz w:val="24"/>
                <w:szCs w:val="24"/>
                <w:vertAlign w:val="superscript"/>
              </w:rPr>
              <w:t>24</w:t>
            </w:r>
          </w:p>
          <w:p w:rsidR="006279A3" w:rsidRPr="003F4AAB" w:rsidRDefault="006279A3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  <w:vertAlign w:val="superscript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 xml:space="preserve">d: RR of </w:t>
            </w:r>
            <w:r w:rsidR="0028523F">
              <w:rPr>
                <w:rFonts w:ascii="Cambria" w:eastAsia="Cambria" w:hAnsi="Cambria" w:cs="Times New Roman"/>
                <w:sz w:val="24"/>
                <w:szCs w:val="24"/>
              </w:rPr>
              <w:t xml:space="preserve">1.62 </w:t>
            </w:r>
            <w:r>
              <w:rPr>
                <w:rFonts w:ascii="Cambria" w:eastAsia="Cambria" w:hAnsi="Cambria" w:cs="Times New Roman"/>
                <w:sz w:val="24"/>
                <w:szCs w:val="24"/>
              </w:rPr>
              <w:t>from the INTERHEART STUDY</w:t>
            </w:r>
            <w:r w:rsidR="003F4AAB">
              <w:rPr>
                <w:rFonts w:ascii="Cambria" w:eastAsia="Cambria" w:hAnsi="Cambria" w:cs="Times New Roman"/>
                <w:sz w:val="24"/>
                <w:szCs w:val="24"/>
                <w:vertAlign w:val="superscript"/>
              </w:rPr>
              <w:t>25</w:t>
            </w:r>
          </w:p>
          <w:p w:rsidR="006279A3" w:rsidRPr="003F4AAB" w:rsidRDefault="006279A3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  <w:vertAlign w:val="superscript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 xml:space="preserve">d: RR </w:t>
            </w:r>
            <w:r w:rsidR="0028523F">
              <w:rPr>
                <w:rFonts w:ascii="Cambria" w:eastAsia="Cambria" w:hAnsi="Cambria" w:cs="Times New Roman"/>
                <w:sz w:val="24"/>
                <w:szCs w:val="24"/>
              </w:rPr>
              <w:t>of 2.14</w:t>
            </w:r>
            <w:r>
              <w:rPr>
                <w:rFonts w:ascii="Cambria" w:eastAsia="Cambria" w:hAnsi="Cambria" w:cs="Times New Roman"/>
                <w:sz w:val="24"/>
                <w:szCs w:val="24"/>
              </w:rPr>
              <w:t xml:space="preserve"> from a meta-analysis</w:t>
            </w:r>
            <w:r w:rsidR="003F4AAB">
              <w:rPr>
                <w:rFonts w:ascii="Cambria" w:eastAsia="Cambria" w:hAnsi="Cambria" w:cs="Times New Roman"/>
                <w:sz w:val="24"/>
                <w:szCs w:val="24"/>
                <w:vertAlign w:val="superscript"/>
              </w:rPr>
              <w:t>26</w:t>
            </w:r>
          </w:p>
        </w:tc>
      </w:tr>
    </w:tbl>
    <w:p w:rsidR="00EC70A5" w:rsidRDefault="00BA57AB"/>
    <w:sectPr w:rsidR="00EC70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898"/>
    <w:rsid w:val="00143FFF"/>
    <w:rsid w:val="00223898"/>
    <w:rsid w:val="0028523F"/>
    <w:rsid w:val="002F36E3"/>
    <w:rsid w:val="003D156D"/>
    <w:rsid w:val="003F4AAB"/>
    <w:rsid w:val="00424D90"/>
    <w:rsid w:val="006279A3"/>
    <w:rsid w:val="007334ED"/>
    <w:rsid w:val="00BA57AB"/>
    <w:rsid w:val="00BC721B"/>
    <w:rsid w:val="00CC28E0"/>
    <w:rsid w:val="00E9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2A78E2-AA3F-44B2-AA6B-7F1BE3C0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Musa A. Bashir</dc:creator>
  <cp:keywords/>
  <dc:description/>
  <cp:lastModifiedBy>Dr Musa A. Bashir</cp:lastModifiedBy>
  <cp:revision>6</cp:revision>
  <dcterms:created xsi:type="dcterms:W3CDTF">2021-09-17T08:49:00Z</dcterms:created>
  <dcterms:modified xsi:type="dcterms:W3CDTF">2021-12-28T13:09:00Z</dcterms:modified>
</cp:coreProperties>
</file>