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898" w:rsidRPr="00223898" w:rsidRDefault="00223898" w:rsidP="00223898">
      <w:pPr>
        <w:spacing w:before="180" w:after="180" w:line="48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bookmarkStart w:id="0" w:name="_GoBack"/>
      <w:r w:rsidRPr="00223898">
        <w:rPr>
          <w:rFonts w:ascii="Times New Roman" w:eastAsia="Cambria" w:hAnsi="Times New Roman" w:cs="Times New Roman"/>
          <w:sz w:val="24"/>
          <w:szCs w:val="24"/>
        </w:rPr>
        <w:t>Table 3.1</w:t>
      </w:r>
      <w:bookmarkEnd w:id="0"/>
      <w:r w:rsidRPr="00223898">
        <w:rPr>
          <w:rFonts w:ascii="Times New Roman" w:eastAsia="Cambria" w:hAnsi="Times New Roman" w:cs="Times New Roman"/>
          <w:sz w:val="24"/>
          <w:szCs w:val="24"/>
        </w:rPr>
        <w:t xml:space="preserve">: </w:t>
      </w:r>
      <w:bookmarkStart w:id="1" w:name="tab:sub"/>
      <w:r w:rsidRPr="00223898">
        <w:rPr>
          <w:rFonts w:ascii="Times New Roman" w:eastAsia="Cambria" w:hAnsi="Times New Roman" w:cs="Times New Roman"/>
          <w:sz w:val="24"/>
          <w:szCs w:val="24"/>
        </w:rPr>
        <w:t>Prevalence Rates by Gender, Area of Residence and Region</w:t>
      </w:r>
      <w:bookmarkEnd w:id="1"/>
    </w:p>
    <w:tbl>
      <w:tblPr>
        <w:tblW w:w="10719" w:type="dxa"/>
        <w:jc w:val="center"/>
        <w:tblLayout w:type="fixed"/>
        <w:tblLook w:val="0420" w:firstRow="1" w:lastRow="0" w:firstColumn="0" w:lastColumn="0" w:noHBand="0" w:noVBand="1"/>
      </w:tblPr>
      <w:tblGrid>
        <w:gridCol w:w="1450"/>
        <w:gridCol w:w="2282"/>
        <w:gridCol w:w="2282"/>
        <w:gridCol w:w="1328"/>
        <w:gridCol w:w="2233"/>
        <w:gridCol w:w="1144"/>
      </w:tblGrid>
      <w:tr w:rsidR="00223898" w:rsidRPr="00223898" w:rsidTr="00FE5141">
        <w:trPr>
          <w:cantSplit/>
          <w:tblHeader/>
          <w:jc w:val="center"/>
        </w:trPr>
        <w:tc>
          <w:tcPr>
            <w:tcW w:w="14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Groups</w:t>
            </w:r>
          </w:p>
        </w:tc>
        <w:tc>
          <w:tcPr>
            <w:tcW w:w="45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Prevalence (95% CI)</w:t>
            </w: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I</w:t>
            </w:r>
            <w:r w:rsidRPr="00223898">
              <w:rPr>
                <w:rFonts w:ascii="Arial" w:eastAsia="Arial" w:hAnsi="Arial" w:cs="Arial"/>
                <w:color w:val="000000"/>
                <w:vertAlign w:val="superscript"/>
              </w:rPr>
              <w:t>2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  <w:vertAlign w:val="superscript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Pseudo-R</w:t>
            </w:r>
            <w:r w:rsidRPr="00223898">
              <w:rPr>
                <w:rFonts w:ascii="Arial" w:eastAsia="Arial" w:hAnsi="Arial" w:cs="Arial"/>
                <w:color w:val="000000"/>
                <w:vertAlign w:val="superscript"/>
              </w:rPr>
              <w:t>2</w:t>
            </w:r>
          </w:p>
        </w:tc>
        <w:tc>
          <w:tcPr>
            <w:tcW w:w="114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i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i/>
                <w:color w:val="000000"/>
              </w:rPr>
              <w:t>P</w:t>
            </w: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ATP III</w:t>
            </w:r>
          </w:p>
        </w:tc>
        <w:tc>
          <w:tcPr>
            <w:tcW w:w="2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IDF</w:t>
            </w:r>
          </w:p>
        </w:tc>
        <w:tc>
          <w:tcPr>
            <w:tcW w:w="1328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b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b/>
                <w:color w:val="000000"/>
              </w:rPr>
              <w:t>Gender</w:t>
            </w:r>
          </w:p>
        </w:tc>
        <w:tc>
          <w:tcPr>
            <w:tcW w:w="228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8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Females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0.359(0.210-0.523)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0.536(0.392-0.677)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98.6</w:t>
            </w:r>
          </w:p>
        </w:tc>
        <w:tc>
          <w:tcPr>
            <w:tcW w:w="223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48.5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&lt;0.001</w:t>
            </w: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Males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0.085(0.017-0.200)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0.125(0.046-0.235)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b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b/>
                <w:color w:val="000000"/>
              </w:rPr>
              <w:t>Residence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Rural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0.148(0.021-0.361)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0.279(0.126-0.464)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99.1</w:t>
            </w:r>
          </w:p>
        </w:tc>
        <w:tc>
          <w:tcPr>
            <w:tcW w:w="223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1.3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0.327</w:t>
            </w: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Urban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0.253(0.094-0.457)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0.449(0.280-0.265)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b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b/>
                <w:color w:val="000000"/>
              </w:rPr>
              <w:t>Regions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Northern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0.282(0.114-0.490)</w:t>
            </w:r>
          </w:p>
        </w:tc>
        <w:tc>
          <w:tcPr>
            <w:tcW w:w="2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0.183(0.031-0.422)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99.4</w:t>
            </w:r>
          </w:p>
        </w:tc>
        <w:tc>
          <w:tcPr>
            <w:tcW w:w="223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0.1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0.314</w:t>
            </w:r>
          </w:p>
        </w:tc>
      </w:tr>
      <w:tr w:rsidR="00223898" w:rsidRPr="00223898" w:rsidTr="00FE5141">
        <w:trPr>
          <w:cantSplit/>
          <w:jc w:val="center"/>
        </w:trPr>
        <w:tc>
          <w:tcPr>
            <w:tcW w:w="1450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Southern</w:t>
            </w:r>
          </w:p>
        </w:tc>
        <w:tc>
          <w:tcPr>
            <w:tcW w:w="228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0.206(0.078-0.374)</w:t>
            </w:r>
          </w:p>
        </w:tc>
        <w:tc>
          <w:tcPr>
            <w:tcW w:w="228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Arial" w:eastAsia="Arial" w:hAnsi="Arial" w:cs="Arial"/>
                <w:color w:val="000000"/>
              </w:rPr>
              <w:t>0.482(0.318-0.647)</w:t>
            </w:r>
          </w:p>
        </w:tc>
        <w:tc>
          <w:tcPr>
            <w:tcW w:w="132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223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</w:p>
        </w:tc>
      </w:tr>
      <w:tr w:rsidR="00223898" w:rsidRPr="00223898" w:rsidTr="00FE5141">
        <w:trPr>
          <w:cantSplit/>
          <w:jc w:val="center"/>
        </w:trPr>
        <w:tc>
          <w:tcPr>
            <w:tcW w:w="10719" w:type="dxa"/>
            <w:gridSpan w:val="6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23898" w:rsidRPr="00223898" w:rsidRDefault="00223898" w:rsidP="00223898">
            <w:pPr>
              <w:spacing w:before="100" w:after="100" w:line="240" w:lineRule="auto"/>
              <w:ind w:left="100" w:right="100"/>
              <w:rPr>
                <w:rFonts w:ascii="Cambria" w:eastAsia="Cambria" w:hAnsi="Cambria" w:cs="Times New Roman"/>
                <w:sz w:val="24"/>
                <w:szCs w:val="24"/>
              </w:rPr>
            </w:pPr>
            <w:r w:rsidRPr="00223898">
              <w:rPr>
                <w:rFonts w:ascii="Cambria" w:eastAsia="Cambria" w:hAnsi="Cambria" w:cs="Times New Roman"/>
                <w:sz w:val="24"/>
                <w:szCs w:val="24"/>
              </w:rPr>
              <w:t>ATP III = Adult Treatment Panel III Criteria, IDF = International Diabetes Federation</w:t>
            </w:r>
          </w:p>
        </w:tc>
      </w:tr>
    </w:tbl>
    <w:p w:rsidR="00EC70A5" w:rsidRDefault="00223898"/>
    <w:sectPr w:rsidR="00EC7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898"/>
    <w:rsid w:val="00223898"/>
    <w:rsid w:val="002F36E3"/>
    <w:rsid w:val="003D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2A78E2-AA3F-44B2-AA6B-7F1BE3C0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Company>HP</Company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Musa A. Bashir</dc:creator>
  <cp:keywords/>
  <dc:description/>
  <cp:lastModifiedBy>Dr Musa A. Bashir</cp:lastModifiedBy>
  <cp:revision>1</cp:revision>
  <dcterms:created xsi:type="dcterms:W3CDTF">2021-09-17T08:49:00Z</dcterms:created>
  <dcterms:modified xsi:type="dcterms:W3CDTF">2021-09-17T08:50:00Z</dcterms:modified>
</cp:coreProperties>
</file>