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V4.2 — InCom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4.2.0 · 2026-07-24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(V4.2)</w:t>
      </w:r>
    </w:p>
    <w:p>
      <w:r>
        <w:rPr>
          <w:sz w:val="22"/>
        </w:rPr>
        <w:t>El núcleo describe la arquitectura base (Fases 0-5). Las Fases 6-16 (versiones 3.5.0 → 4.2.0) — Insights con 6 sub-análisis (Concentración, Precio $/kg, Cuadrante BCG, Estacionalidad, Penetración y Crecimiento x Vendedor), tab Clientes y Productos combinado, cards de Tracking, seguridad de sesión, PDF Avance Comercial, el módulo Agrupadores (territorios virtuales, Fase 1→3) y el histograma mensual de las pastillas — están resumidas en el ChangeLog (doc 03) y a detalle en LO_NUEVO.md, SESSION_LOG.md e INSTRUCTIVO_AGENTE.xml. Estado actual: 7 tabs (todos operan también en modo agrupador), 40 migraciones SQL. Nota clave de arquitectura: 'agrupador como territorio sintético' — funciones SQL que agregan la unión de miembros del agrupador y devuelven territorio = nombre, reutilizando el render entero; el modo territorios normal queda byte-idéntico (opt-in por ?agrupador / p_agrupador_id). El totalizador de Crecimiento x Vendedor (V4.2) usa una RPC de agregación aparte (insights_crecimiento_totales) — nunca la suma de renglones — para que Variedad (COUNT DISTINCT), Margen % (Σmargen÷Σventa) y Ticket Promedio (Σventa÷#tickets) sean el total REAL del negocio.</w:t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V4.2 — InCom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V4.2 — InCom · Arquitectura Técnica · 4.2.0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