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V4.3 — InCom</w:t>
      </w:r>
    </w:p>
    <w:p>
      <w:pPr>
        <w:jc w:val="center"/>
      </w:pPr>
      <w:r>
        <w:rPr>
          <w:b/>
          <w:sz w:val="56"/>
        </w:rPr>
        <w:t>Diccionario de Datos</w:t>
      </w:r>
    </w:p>
    <w:p>
      <w:pPr>
        <w:jc w:val="center"/>
      </w:pPr>
      <w:r>
        <w:rPr>
          <w:i/>
          <w:color w:val="606060"/>
          <w:sz w:val="28"/>
        </w:rPr>
        <w:t>Schemas de DB, contratos de APIs y estructuras internas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4.3.0 · 2026-09-03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2"/>
      </w:pPr>
      <w:r>
        <w:t>Estado de este documento (V4.3)</w:t>
      </w:r>
    </w:p>
    <w:p>
      <w:r>
        <w:rPr>
          <w:sz w:val="22"/>
        </w:rPr>
        <w:t>El núcleo describe los schemas base. En V4.0-4.2 se agregaron: las funciones de Insights (migr 021-024) + insights_penetracion/_detalle (028) + insights_crecimiento_vendedor/_meta/_totales (038-040, Crecimiento x Vendedor); el módulo Agrupadores (migr 029-037): tablas agrupadores, agrupador_members, users_permissions.allowed_agrupadores + agrupadores.meta_mensual, y ~15 funciones agrupador_* (member_arrays gateado SECURITY DEFINER, monthly/daily/grupo/sku/cliente/vendedor/perdidos, y el branch p_agrupador_id en las 6 insights_*). En V4.3 (migr 041-045, todas SECURITY INVOKER con scoping territorio + rama de agrupador): insights_cliente_sku_mensual(p_year, p_anchor_dim 'sku'|'cliente', p_anchor_value, p_territorios) → (name, mes, venta, kg, margen, territorios[]) — cruce cliente × SKU × mes para el expand mensual (044 agregó territorios[] vía DROP+CREATE); insights_concentracion_cruzada(p_from, p_to, p_dimension, p_territorios, p_agrupador_id, p_clientes, p_skus, p_grupos, p_familias) → Pareto acotado por filtros cruzados + dimensión 'familias' (nombre nuevo; NO modifica insights_concentracion ni sus 2 overloads); dim_universe_year(p_dimension 'productos'|'clientes', p_year, p_territorios, p_agrupador_id) → nombres distintos con venta en cualquier mes del año (universo del buscador; consulta sales_rows directo para evitar el tope de 1000 filas); dim_mensual_multianio(p_dimension 'cliente'|'sku', p_names[], p_territorios, p_agrupador_id) → (name, anio, mes, venta, kg) para la matriz Meses Hist. Endpoints nuevos: /api/dashboard/cliente-sku-mensual, /dim-universe, /dim-mensual-multianio; /api/dashboard/cliente-desglose reescrito a 'por SKU, 3 años al-día' ({rows} con v/k/m 24/25/26 + _alDia, espejo de clientes-por-producto); /api/insights/concentracion acepta fcliente/fsku/fgrupo/ffamilia. Total 45 migraciones; datos Ene 2024 – Sep 2026 (~384K filas; 2024 y 2025 completos, 2026 Ene–Sep). Ver detalle en el ChangeLog (doc 03) e INSTRUCTIVO_AGENTE.xml. REGLA CLAVE: un cliente se identifica por NOMBRE, no por no_cliente (cada ERP Sus/Suve numera aparte). El totalizador de Crecimiento x Vendedor usa insights_crecimiento_totales (RPC aparte, no suma de renglones) para que Variedad/Margen %/Ticket Promedio sean el total REAL.</w:t>
      </w:r>
    </w:p>
    <w:p>
      <w:pPr>
        <w:pStyle w:val="Heading1"/>
      </w:pPr>
      <w:r>
        <w:rPr>
          <w:color w:val="ED6808"/>
        </w:rPr>
        <w:t>Tablas de Postgres</w:t>
      </w:r>
    </w:p>
    <w:p>
      <w:pPr>
        <w:pStyle w:val="Heading2"/>
      </w:pPr>
      <w:r>
        <w:t>sales_rows (tabla principal)</w:t>
      </w:r>
    </w:p>
    <w:p>
      <w:r>
        <w:rPr>
          <w:sz w:val="22"/>
        </w:rPr>
        <w:t>Persiste todas las filas de venta importadas desde Susazón y Suve. RLS habilitado.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bigserial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PK auto-incremental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 CHECK (empresa IN (0,1))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0=Susazón, 1=Suve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no_cliente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 del cliente desde el ERP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territorio (filtrado por RLS)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vendedor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Código del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Solo se insertan filas con kg &gt;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Fecha de la venta YYYY-MM-DD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Año extraído de fecha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 1-12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Monto en 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margen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Margen en 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familia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Familia de producto (legacy)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grupo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Grupo de producto (campo nuevo agregado por TI)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now()</w:t>
            </w:r>
          </w:p>
        </w:tc>
      </w:tr>
    </w:tbl>
    <w:p>
      <w:r>
        <w:rPr>
          <w:sz w:val="22"/>
        </w:rPr>
        <w:t>RLS Policy: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CREATE POLICY "users_read_visible_territories" ON sales_rows</w:t>
        <w:br/>
        <w:t xml:space="preserve">  FOR SELECT USING (territorio = ANY (visible_territories_for_current_user()));</w:t>
      </w:r>
    </w:p>
    <w:p>
      <w:pPr>
        <w:pStyle w:val="Heading2"/>
      </w:pPr>
      <w:r>
        <w:t>users_permissions</w:t>
      </w:r>
    </w:p>
    <w:p>
      <w:r>
        <w:rPr>
          <w:sz w:val="22"/>
        </w:rPr>
        <w:t>Extiende auth.users con rol y permisos por territorio.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 ON DELETE CASCADE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 UNIQUE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full_name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user_role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admin | director | gerente_regional |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allowed_territories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text[]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NULL = todos. Array vacío = ninguno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can_edit_ptto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false. True para admin/director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theme_preference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theme_preference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clean | editorial | warm-neo (default clean)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False = soft delete (no elimina, desactiva login)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Trigger set_updated_at() lo mantiene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last_login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Actualizado por callback de auth</w:t>
            </w:r>
          </w:p>
        </w:tc>
      </w:tr>
    </w:tbl>
    <w:p>
      <w:pPr>
        <w:pStyle w:val="Heading2"/>
      </w:pPr>
      <w:r>
        <w:t>territories_state</w:t>
      </w:r>
    </w:p>
    <w:p>
      <w:r>
        <w:rPr>
          <w:sz w:val="22"/>
        </w:rPr>
        <w:t>Toggle global on/off por territorio. Auto-poblado por trigger cuando llega un territorio nuevo en sales_rows.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territory_name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False = apagado para todos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disabled_by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disabled_at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reason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Motivo opcional (max 500 chars)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territory_budgets</w:t>
      </w:r>
    </w:p>
    <w:p>
      <w:r>
        <w:rPr>
          <w:sz w:val="22"/>
        </w:rPr>
        <w:t>PTTO mensual por territorio. Editable solo por admin/director.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venta_budget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updated_by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audit_log (inmutable)</w:t>
      </w:r>
    </w:p>
    <w:p>
      <w:r>
        <w:rPr>
          <w:sz w:val="22"/>
        </w:rPr>
        <w:t>Registro de eventos de seguridad y cambios sensibles. Sin políticas UPDATE/DELETE — inmutable.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gen_random_uuid()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 ON DELETE SET 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user_email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Snapshot del email al momento del evento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audit_action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 enum abajo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details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jsonb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Contexto: before/after, changed_fields, etc.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ip_address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user_agent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now()</w:t>
            </w:r>
          </w:p>
        </w:tc>
      </w:tr>
    </w:tbl>
    <w:p>
      <w:r>
        <w:rPr>
          <w:sz w:val="22"/>
        </w:rPr>
        <w:t>Enum audit_action (9 valores):</w:t>
      </w:r>
    </w:p>
    <w:p>
      <w:pPr>
        <w:pStyle w:val="ListBullet"/>
      </w:pPr>
      <w:r>
        <w:rPr>
          <w:sz w:val="22"/>
        </w:rPr>
        <w:t>login — signInWithPassword exitoso</w:t>
      </w:r>
    </w:p>
    <w:p>
      <w:pPr>
        <w:pStyle w:val="ListBullet"/>
      </w:pPr>
      <w:r>
        <w:rPr>
          <w:sz w:val="22"/>
        </w:rPr>
        <w:t>login_failed — intento de auth fallido</w:t>
      </w:r>
    </w:p>
    <w:p>
      <w:pPr>
        <w:pStyle w:val="ListBullet"/>
      </w:pPr>
      <w:r>
        <w:rPr>
          <w:sz w:val="22"/>
        </w:rPr>
        <w:t>logout — signOut</w:t>
      </w:r>
    </w:p>
    <w:p>
      <w:pPr>
        <w:pStyle w:val="ListBullet"/>
      </w:pPr>
      <w:r>
        <w:rPr>
          <w:sz w:val="22"/>
        </w:rPr>
        <w:t>territory_toggle — apagar/prender desde admin</w:t>
      </w:r>
    </w:p>
    <w:p>
      <w:pPr>
        <w:pStyle w:val="ListBullet"/>
      </w:pPr>
      <w:r>
        <w:rPr>
          <w:sz w:val="22"/>
        </w:rPr>
        <w:t>ptto_change — bulk upsert en territory_budgets</w:t>
      </w:r>
    </w:p>
    <w:p>
      <w:pPr>
        <w:pStyle w:val="ListBullet"/>
      </w:pPr>
      <w:r>
        <w:rPr>
          <w:sz w:val="22"/>
        </w:rPr>
        <w:t>user_created — invite via Magic Link</w:t>
      </w:r>
    </w:p>
    <w:p>
      <w:pPr>
        <w:pStyle w:val="ListBullet"/>
      </w:pPr>
      <w:r>
        <w:rPr>
          <w:sz w:val="22"/>
        </w:rPr>
        <w:t>user_updated — edit user (incluye reset password)</w:t>
      </w:r>
    </w:p>
    <w:p>
      <w:pPr>
        <w:pStyle w:val="ListBullet"/>
      </w:pPr>
      <w:r>
        <w:rPr>
          <w:sz w:val="22"/>
        </w:rPr>
        <w:t>user_deleted — soft delete (is_active=false)</w:t>
      </w:r>
    </w:p>
    <w:p>
      <w:pPr>
        <w:pStyle w:val="ListBullet"/>
      </w:pPr>
      <w:r>
        <w:rPr>
          <w:sz w:val="22"/>
        </w:rPr>
        <w:t>data_refresh — refresh APIs Susazón/Suve</w:t>
      </w:r>
    </w:p>
    <w:p>
      <w:pPr>
        <w:pStyle w:val="Heading1"/>
      </w:pPr>
      <w:r>
        <w:rPr>
          <w:color w:val="ED6808"/>
        </w:rPr>
        <w:t>Vistas KPI</w:t>
      </w:r>
    </w:p>
    <w:p>
      <w:r>
        <w:rPr>
          <w:sz w:val="22"/>
        </w:rPr>
        <w:t>Todas las vistas con WITH (security_invoker = true) para heredar RLS de sales_rows.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Vista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Granularidad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Tab que la consume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kpi_monthly_summary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KPI cards principales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kpi_daily_summary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(fecha,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Tracking Diario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kpi_familia_summary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familia)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Legacy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kpi_grupo_summary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grupo)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Grupo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kpi_sku_summary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sku)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Productos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no_cliente)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Clientes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kpi_vendedor_summary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vendedor, empresa)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Vendedores (toggle Sus/Suve)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kpi_cliente_yearly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no_cliente,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kpi_cliente_perdidos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no_cliente,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Perdidos (mes + YTD pre-agregados)</w:t>
            </w:r>
          </w:p>
        </w:tc>
      </w:tr>
    </w:tbl>
    <w:p>
      <w:pPr>
        <w:pStyle w:val="Heading1"/>
      </w:pPr>
      <w:r>
        <w:rPr>
          <w:color w:val="ED6808"/>
        </w:rPr>
        <w:t>Contrato APIs Susazón/Suve</w:t>
      </w:r>
    </w:p>
    <w:p>
      <w:pPr>
        <w:pStyle w:val="Heading2"/>
      </w:pPr>
      <w:r>
        <w:t>Endpoint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Performance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https://sasweb.susazon.mx/susazon/api_ERPPyMEDashboard/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Enterprise · ~5s/mes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https://saswebsuve.susazon.mx/suve/api_ERPPyMEDashboard/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Express · ~60s/mes</w:t>
            </w:r>
          </w:p>
        </w:tc>
      </w:tr>
    </w:tbl>
    <w:p>
      <w:pPr>
        <w:pStyle w:val="Heading2"/>
      </w:pPr>
      <w:r>
        <w:t>Request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POST /api_ERPPyMEDashboard/</w:t>
        <w:br/>
        <w:t>Headers:</w:t>
        <w:br/>
        <w:t xml:space="preserve">  X-API-KEY: API-DASH-CLAUDE-2026-$$1</w:t>
        <w:br/>
        <w:t xml:space="preserve">  Content-Type: application/json</w:t>
        <w:br/>
        <w:br/>
        <w:t>Body:</w:t>
        <w:br/>
        <w:t>{</w:t>
        <w:br/>
        <w:t xml:space="preserve">  "page": 1,</w:t>
        <w:br/>
        <w:t xml:space="preserve">  "page_size": 50000,</w:t>
        <w:br/>
        <w:t xml:space="preserve">  "desde": "2026-04-01",</w:t>
        <w:br/>
        <w:t xml:space="preserve">  "hasta": "2026-04-30"</w:t>
        <w:br/>
        <w:t>}</w:t>
      </w:r>
    </w:p>
    <w:p>
      <w:pPr>
        <w:pStyle w:val="Heading2"/>
      </w:pPr>
      <w:r>
        <w:t>Response (filas)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Campo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"SUSAZON DEL CENTRO" | "SUVE DEL BAJIO" | etc — descriptivo, NO exacto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no_cliente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Mapea 1-1 a sales_rows.territorio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vendedor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Código de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Filtrar kg &gt; 0 al insertar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YYYY-MM-DD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Casteo a 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Casteo a 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margen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familia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Legacy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grupo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Campo nuevo — no estaba en V2.2</w:t>
            </w:r>
          </w:p>
        </w:tc>
      </w:tr>
    </w:tbl>
    <w:p>
      <w:r>
        <w:rPr>
          <w:sz w:val="22"/>
        </w:rPr>
        <w:t>Importante: campo `empresa` viene como STRING descriptivo. La normalización en lib/susazon-api.ts → normalizeRow() cae al fallback empresaCode (0 o 1 según el endpoint llamado).</w:t>
      </w:r>
    </w:p>
    <w:p>
      <w:pPr>
        <w:pStyle w:val="Heading1"/>
      </w:pPr>
      <w:r>
        <w:rPr>
          <w:color w:val="ED6808"/>
        </w:rPr>
        <w:t>Estructura interna NormalizedRow (TypeScript)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interface NormalizedRow {</w:t>
        <w:br/>
        <w:t xml:space="preserve">  empresa: 0 | 1;  // 0=Susazón, 1=Suve</w:t>
        <w:br/>
        <w:t xml:space="preserve">  no_cliente: string;</w:t>
        <w:br/>
        <w:t xml:space="preserve">  cliente: string | null;</w:t>
        <w:br/>
        <w:t xml:space="preserve">  territorio: string;</w:t>
        <w:br/>
        <w:t xml:space="preserve">  vendedor: string | null;</w:t>
        <w:br/>
        <w:t xml:space="preserve">  sku: string | null;</w:t>
        <w:br/>
        <w:t xml:space="preserve">  kg: number;</w:t>
        <w:br/>
        <w:t xml:space="preserve">  fecha: string;</w:t>
        <w:br/>
        <w:t xml:space="preserve">  anio: number;</w:t>
        <w:br/>
        <w:t xml:space="preserve">  mes: number;</w:t>
        <w:br/>
        <w:t xml:space="preserve">  venta: number;</w:t>
        <w:br/>
        <w:t xml:space="preserve">  margen: number;</w:t>
        <w:br/>
        <w:t xml:space="preserve">  familia: string | null;</w:t>
        <w:br/>
        <w:t xml:space="preserve">  grupo: string | null;</w:t>
        <w:br/>
        <w:t>}</w:t>
      </w:r>
    </w:p>
    <w:p>
      <w:pPr>
        <w:pStyle w:val="Heading1"/>
      </w:pPr>
      <w:r>
        <w:rPr>
          <w:color w:val="ED6808"/>
        </w:rPr>
        <w:t>Roles y Matriz de Permisos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Acción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Admin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Director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Gerente Reg.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Vendedor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todos los territorios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(asignados)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(suyo)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Editar PTTO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Cargar datos (refresh APIs)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márgenes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Apagar/prender territorios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Crear/eliminar usuarios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audit log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</w:tbl>
    <w:p>
      <w:pPr>
        <w:pStyle w:val="Heading1"/>
      </w:pPr>
      <w:r>
        <w:rPr>
          <w:color w:val="ED6808"/>
        </w:rPr>
        <w:t>Constantes y Magic Numbers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Constante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Valor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Razón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Susazón timeout/page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120,000 ms (2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Enterprise — margen amplio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 timeout/page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600,000 ms (10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Express — lento por diseño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PAGE_SIZE refresh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50,000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Bumpeado en Supabase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maxDuration Vercel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Hobby plan limit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estimate Susazón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Observado en producción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estimate Suve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Observado en producción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acumulado años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[2024, 2025, 2026]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Configurable en page.tsx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días hábiles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L-S menos LFT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 L-V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min dia para Run-Rate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Antes hay poca data confiable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V4.3 — InCom · Diccionario de Datos · 4.3.0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